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rawings/drawing1.xml" ContentType="application/vnd.openxmlformats-officedocument.drawingml.chartshapes+xml"/>
  <Override PartName="/word/charts/chart1.xml" ContentType="application/vnd.openxmlformats-officedocument.drawingml.chart+xml"/>
  <Override PartName="/word/drawings/drawing2.xml" ContentType="application/vnd.openxmlformats-officedocument.drawingml.chartshapes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400" w:lineRule="exact"/>
        <w:ind w:firstLineChars="100" w:firstLine="320"/>
        <w:rPr>
          <w:rFonts w:ascii="Times New Roman" w:eastAsia="仿宋_GB2312" w:cs="Times New Roman" w:hAnsi="Times New Roman"/>
          <w:color w:val="000000"/>
          <w:sz w:val="32"/>
          <w:szCs w:val="32"/>
        </w:rPr>
      </w:pPr>
    </w:p>
    <w:p>
      <w:pPr>
        <w:spacing w:line="660" w:lineRule="exact"/>
        <w:jc w:val="center"/>
        <w:rPr>
          <w:rFonts w:ascii="Times New Roman" w:eastAsia="方正小标宋简体" w:cs="Times New Roman" w:hAnsi="Times New Roman"/>
          <w:color w:val="000000"/>
          <w:sz w:val="44"/>
          <w:szCs w:val="44"/>
        </w:rPr>
      </w:pPr>
      <w:bookmarkStart w:id="0" w:name="标题"/>
      <w:bookmarkEnd w:id="0"/>
      <w:r>
        <w:rPr>
          <w:rFonts w:ascii="Times New Roman" w:eastAsia="方正小标宋简体" w:cs="Times New Roman" w:hAnsi="Times New Roman"/>
          <w:color w:val="000000"/>
          <w:sz w:val="44"/>
          <w:szCs w:val="44"/>
        </w:rPr>
        <w:t>2021年连云港市国民经济和社会发展</w:t>
      </w:r>
    </w:p>
    <w:p>
      <w:pPr>
        <w:spacing w:line="660" w:lineRule="exact"/>
        <w:jc w:val="center"/>
        <w:rPr>
          <w:rFonts w:ascii="Times New Roman" w:eastAsia="方正小标宋简体" w:cs="Times New Roman" w:hAnsi="Times New Roman"/>
          <w:color w:val="000000"/>
          <w:sz w:val="44"/>
          <w:szCs w:val="44"/>
        </w:rPr>
      </w:pPr>
      <w:r>
        <w:rPr>
          <w:rFonts w:ascii="Times New Roman" w:eastAsia="方正小标宋简体" w:cs="Times New Roman" w:hAnsi="Times New Roman"/>
          <w:color w:val="000000"/>
          <w:sz w:val="44"/>
          <w:szCs w:val="44"/>
        </w:rPr>
        <w:t>统计公报</w:t>
      </w:r>
    </w:p>
    <w:p>
      <w:pPr>
        <w:spacing w:line="40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</w:rPr>
      </w:pP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2021年，全市坚持以习近平新时代中国特色社会主义思想为指导，认真落实省委省政府和市委市政府决策部署，牢固树立“后发先至”目标追求，把握新发展阶段、贯彻新发展理念、构建新发展格局，统筹疫情防控和经济社会发展，扎实做好“六稳”“六保”工作，全市高质量发展取得新进展，圆满实现“十四五”良好开局。</w:t>
      </w:r>
    </w:p>
    <w:p>
      <w:pPr>
        <w:spacing w:line="560" w:lineRule="exact"/>
        <w:ind w:firstLineChars="200" w:firstLine="640"/>
        <w:rPr>
          <w:rFonts w:ascii="Times New Roman" w:eastAsia="黑体" w:cs="Times New Roman" w:hAnsi="Times New Roman"/>
          <w:color w:val="000000"/>
          <w:sz w:val="32"/>
          <w:szCs w:val="32"/>
        </w:rPr>
      </w:pPr>
      <w:r>
        <w:rPr>
          <w:rFonts w:ascii="Times New Roman" w:eastAsia="黑体" w:cs="Times New Roman" w:hAnsi="Times New Roman"/>
          <w:color w:val="000000"/>
          <w:sz w:val="32"/>
          <w:szCs w:val="32"/>
        </w:rPr>
        <w:t>一、综 合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 w:hint="eastAsia"/>
          <w:color w:val="000000"/>
          <w:sz w:val="32"/>
          <w:szCs w:val="32"/>
        </w:rPr>
      </w:pPr>
      <w:r>
        <w:rPr>
          <w:rFonts w:ascii="Times New Roman" w:eastAsia="楷体_GB2312" w:cs="Times New Roman" w:hAnsi="Times New Roman"/>
          <w:color w:val="000000"/>
          <w:sz w:val="32"/>
          <w:szCs w:val="32"/>
        </w:rPr>
        <w:t>经济总量稳步增长。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初步核算，全年实现地区生产总值</w:t>
      </w:r>
      <w:bookmarkStart w:id="1" w:name="_GoBack"/>
      <w:bookmarkEnd w:id="1"/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3727.92亿元，增长8.8%，两年平均增长5.9%。其中，第一产业增加值398.13亿元，增长3.4%；第二产业增加值1625.76亿元，增长9.5%；第三产业增加值1704.03亿元，增长9.5%。第一产业增加值占地区生产总值比重为10.7%，第二产业增加值比重为43.6%，第三产业增加值比重为45.7%。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 w:hint="eastAsia"/>
          <w:color w:val="000000"/>
          <w:sz w:val="32"/>
          <w:szCs w:val="32"/>
        </w:rPr>
      </w:pPr>
      <w:r>
        <w:rPr>
          <w:rFonts w:ascii="Times New Roman" w:eastAsia="仿宋_GB2312" w:cs="Times New Roman" w:hAnsi="Times New Roman" w:hint="eastAsia"/>
          <w:color w:val="000000"/>
          <w:sz w:val="32"/>
          <w:szCs w:val="32"/>
        </w:rPr>
        <w:drawing>
          <wp:anchor distT="85344" distB="140208" distL="315468" distR="220218" simplePos="0" relativeHeight="13" behindDoc="0" locked="0" layoutInCell="1" hidden="0" allowOverlap="1">
            <wp:simplePos x="0" y="0"/>
            <wp:positionH relativeFrom="column">
              <wp:posOffset>201295</wp:posOffset>
            </wp:positionH>
            <wp:positionV relativeFrom="paragraph">
              <wp:posOffset>344170</wp:posOffset>
            </wp:positionV>
            <wp:extent cx="5297804" cy="2940050"/>
            <wp:effectExtent l="0" t="0" r="0" b="0"/>
            <wp:wrapNone/>
            <wp:docPr id="1" name="图表 2"/>
            <wp:cNvGraphicFramePr>
              <a:graphicFrameLocks noChangeAspect="0"/>
            </wp:cNvGraphicFramePr>
            <a:graphic>
              <a:graphicData uri="http://schemas.openxmlformats.org/drawingml/2006/chart">
                <c:chart xmlns:c="http://schemas.openxmlformats.org/drawingml/2006/chart" r:id="rId4"/>
              </a:graphicData>
            </a:graphic>
          </wp:anchor>
        </w:drawing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 w:hint="eastAsia"/>
          <w:color w:val="000000"/>
          <w:sz w:val="32"/>
          <w:szCs w:val="32"/>
        </w:rPr>
      </w:pP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 w:hint="eastAsia"/>
          <w:color w:val="000000"/>
          <w:sz w:val="32"/>
          <w:szCs w:val="32"/>
        </w:rPr>
      </w:pP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</w:rPr>
      </w:pPr>
    </w:p>
    <w:p>
      <w:pPr>
        <w:spacing w:line="52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</w:rPr>
      </w:pPr>
    </w:p>
    <w:p>
      <w:pPr>
        <w:spacing w:line="52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</w:rPr>
      </w:pPr>
    </w:p>
    <w:p>
      <w:pPr>
        <w:spacing w:line="52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</w:rPr>
      </w:pPr>
    </w:p>
    <w:p>
      <w:pPr>
        <w:spacing w:line="54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</w:rPr>
      </w:pPr>
    </w:p>
    <w:p>
      <w:pPr>
        <w:spacing w:line="540" w:lineRule="exact"/>
        <w:rPr>
          <w:rFonts w:ascii="Times New Roman" w:eastAsia="仿宋_GB2312" w:cs="Times New Roman" w:hAnsi="Times New Roman"/>
          <w:color w:val="000000"/>
          <w:sz w:val="32"/>
          <w:szCs w:val="32"/>
        </w:rPr>
      </w:pPr>
    </w:p>
    <w:p>
      <w:pPr>
        <w:spacing w:line="540" w:lineRule="exact"/>
        <w:ind w:firstLineChars="200" w:firstLine="640"/>
        <w:rPr>
          <w:rFonts w:ascii="Times New Roman" w:eastAsia="楷体" w:cs="Times New Roman" w:hAnsi="Times New Roman"/>
          <w:color w:val="000000"/>
          <w:sz w:val="32"/>
          <w:szCs w:val="32"/>
        </w:rPr>
      </w:pPr>
    </w:p>
    <w:p>
      <w:pPr>
        <w:spacing w:line="52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楷体" w:cs="Times New Roman" w:hAnsi="Times New Roman"/>
          <w:color w:val="000000"/>
          <w:sz w:val="32"/>
          <w:szCs w:val="32"/>
        </w:rPr>
        <w:t>常住人口微幅增长。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年末全市常住人口460.20万人，比上年末增加0.1万人，其中城镇常住人口287.07万人。全年出生人口3.14万人，出生率为6.82‰；死亡人口3.11万人，死亡率为6.76‰；自然增长率为0.06‰。</w:t>
      </w:r>
    </w:p>
    <w:p>
      <w:pPr>
        <w:widowControl/>
        <w:shd w:val="clear" w:color="auto" w:fill="FFFFFF"/>
        <w:adjustRightInd w:val="0"/>
        <w:jc w:val="center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表1　2021年年末人口数及其构成</w:t>
      </w:r>
    </w:p>
    <w:tbl>
      <w:tblPr>
        <w:jc w:val="center"/>
        <w:tblW w:w="8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0"/>
        <w:gridCol w:w="2383"/>
        <w:gridCol w:w="2410"/>
      </w:tblGrid>
      <w:tr>
        <w:trPr>
          <w:trHeight w:val="300"/>
        </w:trPr>
        <w:tc>
          <w:tcPr>
            <w:tcW w:w="370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cs="Times New Roman" w:hAnsi="Times New Roman"/>
                <w:color w:val="000000"/>
                <w:kern w:val="0"/>
              </w:rPr>
            </w:pPr>
            <w:bookmarkStart w:id="2" w:name="RANGE!D17"/>
            <w:r>
              <w:rPr>
                <w:rFonts w:ascii="Times New Roman" w:cs="Times New Roman" w:hAnsi="Times New Roman"/>
                <w:color w:val="000000"/>
                <w:kern w:val="0"/>
              </w:rPr>
              <w:t>指标</w:t>
            </w:r>
            <w:bookmarkEnd w:id="2"/>
          </w:p>
        </w:tc>
        <w:tc>
          <w:tcPr>
            <w:tcW w:w="238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cs="Times New Roman" w:hAnsi="Times New Roman"/>
                <w:color w:val="000000"/>
                <w:kern w:val="0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</w:rPr>
              <w:t>年末数（万人）</w:t>
            </w:r>
          </w:p>
        </w:tc>
        <w:tc>
          <w:tcPr>
            <w:tcW w:w="241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cs="Times New Roman" w:hAnsi="Times New Roman"/>
                <w:color w:val="000000"/>
                <w:kern w:val="0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</w:rPr>
              <w:t>比重（%）</w:t>
            </w:r>
          </w:p>
        </w:tc>
      </w:tr>
      <w:tr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cs="Times New Roman" w:hAnsi="Times New Roman"/>
                <w:color w:val="000000"/>
                <w:kern w:val="0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</w:rPr>
              <w:t>全市人口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cs="Times New Roman" w:hAnsi="Times New Roman"/>
                <w:color w:val="000000"/>
                <w:kern w:val="0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</w:rPr>
              <w:t>460.2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cs="Times New Roman" w:hAnsi="Times New Roman"/>
                <w:color w:val="000000"/>
                <w:kern w:val="0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</w:rPr>
              <w:t>100</w:t>
            </w:r>
          </w:p>
        </w:tc>
      </w:tr>
      <w:tr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cs="Times New Roman" w:hAnsi="Times New Roman"/>
                <w:color w:val="000000"/>
                <w:kern w:val="0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</w:rPr>
              <w:t>　　其中：城镇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cs="Times New Roman" w:hAnsi="Times New Roman"/>
                <w:color w:val="000000"/>
                <w:kern w:val="0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</w:rPr>
              <w:t>287.07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cs="Times New Roman" w:hAnsi="Times New Roman"/>
                <w:color w:val="000000"/>
                <w:kern w:val="0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</w:rPr>
              <w:t>62.38</w:t>
            </w:r>
          </w:p>
        </w:tc>
      </w:tr>
      <w:tr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cs="Times New Roman" w:hAnsi="Times New Roman"/>
                <w:color w:val="000000"/>
                <w:kern w:val="0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</w:rPr>
              <w:t>　　　　　乡村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cs="Times New Roman" w:hAnsi="Times New Roman"/>
                <w:color w:val="000000"/>
                <w:kern w:val="0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</w:rPr>
              <w:t>173.13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cs="Times New Roman" w:hAnsi="Times New Roman"/>
                <w:color w:val="000000"/>
                <w:kern w:val="0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</w:rPr>
              <w:t>37.62</w:t>
            </w:r>
          </w:p>
        </w:tc>
      </w:tr>
      <w:tr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cs="Times New Roman" w:hAnsi="Times New Roman"/>
                <w:color w:val="000000"/>
                <w:kern w:val="0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</w:rPr>
              <w:t>　　其中：0-15岁（含不满16周岁）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cs="Times New Roman" w:hAnsi="Times New Roman"/>
                <w:color w:val="000000"/>
                <w:kern w:val="0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</w:rPr>
              <w:t>101.03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cs="Times New Roman" w:hAnsi="Times New Roman"/>
                <w:color w:val="000000"/>
                <w:kern w:val="0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</w:rPr>
              <w:t>21.95</w:t>
            </w:r>
          </w:p>
        </w:tc>
      </w:tr>
      <w:tr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cs="Times New Roman" w:hAnsi="Times New Roman"/>
                <w:color w:val="000000"/>
                <w:kern w:val="0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</w:rPr>
              <w:t>　　　　　16-59岁（含不满60周岁）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cs="Times New Roman" w:hAnsi="Times New Roman"/>
                <w:color w:val="000000"/>
                <w:kern w:val="0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</w:rPr>
              <w:t>263.59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cs="Times New Roman" w:hAnsi="Times New Roman"/>
                <w:color w:val="000000"/>
                <w:kern w:val="0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</w:rPr>
              <w:t>57.28</w:t>
            </w:r>
          </w:p>
        </w:tc>
      </w:tr>
      <w:tr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cs="Times New Roman" w:hAnsi="Times New Roman"/>
                <w:color w:val="000000"/>
                <w:kern w:val="0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</w:rPr>
              <w:t>　　　　　60周岁及以上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cs="Times New Roman" w:hAnsi="Times New Roman"/>
                <w:color w:val="000000"/>
                <w:kern w:val="0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</w:rPr>
              <w:t>95.58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cs="Times New Roman" w:hAnsi="Times New Roman"/>
                <w:color w:val="000000"/>
                <w:kern w:val="0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</w:rPr>
              <w:t>20.77</w:t>
            </w:r>
          </w:p>
        </w:tc>
      </w:tr>
      <w:tr>
        <w:trPr>
          <w:trHeight w:val="285"/>
        </w:trPr>
        <w:tc>
          <w:tcPr>
            <w:tcW w:w="3700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cs="Times New Roman" w:hAnsi="Times New Roman"/>
                <w:color w:val="000000"/>
                <w:kern w:val="0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</w:rPr>
              <w:t>　　　　　　　其中：65周岁及以上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cs="Times New Roman" w:hAnsi="Times New Roman"/>
                <w:color w:val="000000"/>
                <w:kern w:val="0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</w:rPr>
              <w:t>71.48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cs="Times New Roman" w:hAnsi="Times New Roman"/>
                <w:color w:val="000000"/>
                <w:kern w:val="0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</w:rPr>
              <w:t>15.53</w:t>
            </w:r>
          </w:p>
        </w:tc>
      </w:tr>
    </w:tbl>
    <w:p>
      <w:pPr>
        <w:spacing w:line="52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楷体" w:cs="Times New Roman" w:hAnsi="Times New Roman"/>
          <w:color w:val="000000"/>
          <w:sz w:val="32"/>
          <w:szCs w:val="32"/>
        </w:rPr>
        <w:t>居民消费价格温和上涨。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全年居民消费价格上涨1.3%。分类别看，食品烟酒价格上涨0.6%，衣着价格上涨0.5%，居住价格上涨1.0%，生活用品及服务价格上涨0.7%，交通和通信价格上涨3.7%，教育文化和娱乐价格上涨2.3%，医疗保健价格上涨1.0%，其他用品和服务价格下降0.3%。在食品烟酒价格中，粮食价格上涨3.0%，食用油价格上涨9.2%，鲜菜价格上涨6.8%。</w:t>
      </w:r>
    </w:p>
    <w:p>
      <w:pPr>
        <w:widowControl/>
        <w:shd w:val="clear" w:color="auto" w:fill="FFFFFF"/>
        <w:adjustRightInd w:val="0"/>
        <w:jc w:val="center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表2  2021年连云港市居民消费价格</w:t>
      </w:r>
    </w:p>
    <w:tbl>
      <w:tblPr>
        <w:jc w:val="center"/>
        <w:tblW w:w="8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3"/>
        <w:gridCol w:w="3711"/>
      </w:tblGrid>
      <w:tr>
        <w:trPr>
          <w:trHeight w:val="312"/>
        </w:trPr>
        <w:tc>
          <w:tcPr>
            <w:tcW w:w="5013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cs="Times New Roman" w:hAnsi="Times New Roman"/>
                <w:color w:val="000000"/>
                <w:kern w:val="0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</w:rPr>
              <w:t>指标</w:t>
            </w:r>
          </w:p>
        </w:tc>
        <w:tc>
          <w:tcPr>
            <w:tcW w:w="371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cs="Times New Roman" w:hAnsi="Times New Roman"/>
                <w:color w:val="000000"/>
                <w:kern w:val="0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</w:rPr>
              <w:t>以上年为100</w:t>
            </w:r>
          </w:p>
        </w:tc>
      </w:tr>
      <w:tr>
        <w:trPr>
          <w:trHeight w:val="312"/>
        </w:trPr>
        <w:tc>
          <w:tcPr>
            <w:tcW w:w="5013" w:type="dxa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/>
        </w:tc>
        <w:tc>
          <w:tcPr>
            <w:tcW w:w="3711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/>
        </w:tc>
      </w:tr>
      <w:tr>
        <w:trPr>
          <w:trHeight w:val="259"/>
        </w:trPr>
        <w:tc>
          <w:tcPr>
            <w:tcW w:w="50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cs="Times New Roman" w:hAnsi="Times New Roman"/>
                <w:color w:val="000000"/>
                <w:kern w:val="0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</w:rPr>
              <w:t>居民消费价格总指数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Times New Roman" w:cs="Times New Roman" w:hAnsi="Times New Roman"/>
                <w:color w:val="000000"/>
                <w:kern w:val="0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</w:rPr>
              <w:t>101.3</w:t>
            </w:r>
          </w:p>
        </w:tc>
      </w:tr>
      <w:tr>
        <w:trPr>
          <w:trHeight w:val="259"/>
        </w:trPr>
        <w:tc>
          <w:tcPr>
            <w:tcW w:w="50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cs="Times New Roman" w:hAnsi="Times New Roman"/>
                <w:color w:val="000000"/>
                <w:kern w:val="0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</w:rPr>
              <w:t>一、食品烟酒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Times New Roman" w:cs="Times New Roman" w:hAnsi="Times New Roman"/>
                <w:color w:val="000000"/>
                <w:kern w:val="0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</w:rPr>
              <w:t>100.6</w:t>
            </w:r>
          </w:p>
        </w:tc>
      </w:tr>
      <w:tr>
        <w:trPr>
          <w:trHeight w:val="259"/>
        </w:trPr>
        <w:tc>
          <w:tcPr>
            <w:tcW w:w="50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cs="Times New Roman" w:hAnsi="Times New Roman"/>
                <w:color w:val="000000"/>
                <w:kern w:val="0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</w:rPr>
              <w:t>二、衣着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Times New Roman" w:cs="Times New Roman" w:hAnsi="Times New Roman"/>
                <w:color w:val="000000"/>
                <w:kern w:val="0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</w:rPr>
              <w:t>100.5</w:t>
            </w:r>
          </w:p>
        </w:tc>
      </w:tr>
      <w:tr>
        <w:trPr>
          <w:trHeight w:val="259"/>
        </w:trPr>
        <w:tc>
          <w:tcPr>
            <w:tcW w:w="50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cs="Times New Roman" w:hAnsi="Times New Roman"/>
                <w:color w:val="000000"/>
                <w:kern w:val="0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</w:rPr>
              <w:t>三、居住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Times New Roman" w:cs="Times New Roman" w:hAnsi="Times New Roman"/>
                <w:color w:val="000000"/>
                <w:kern w:val="0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</w:rPr>
              <w:t>101</w:t>
            </w:r>
          </w:p>
        </w:tc>
      </w:tr>
      <w:tr>
        <w:trPr>
          <w:trHeight w:val="259"/>
        </w:trPr>
        <w:tc>
          <w:tcPr>
            <w:tcW w:w="50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cs="Times New Roman" w:hAnsi="Times New Roman"/>
                <w:color w:val="000000"/>
                <w:kern w:val="0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</w:rPr>
              <w:t>四、生活用品及服务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Times New Roman" w:cs="Times New Roman" w:hAnsi="Times New Roman"/>
                <w:color w:val="000000"/>
                <w:kern w:val="0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</w:rPr>
              <w:t>100.7</w:t>
            </w:r>
          </w:p>
        </w:tc>
      </w:tr>
      <w:tr>
        <w:trPr>
          <w:trHeight w:val="259"/>
        </w:trPr>
        <w:tc>
          <w:tcPr>
            <w:tcW w:w="50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cs="Times New Roman" w:hAnsi="Times New Roman"/>
                <w:color w:val="000000"/>
                <w:kern w:val="0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</w:rPr>
              <w:t>五、交通和通信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Times New Roman" w:cs="Times New Roman" w:hAnsi="Times New Roman"/>
                <w:color w:val="000000"/>
                <w:kern w:val="0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</w:rPr>
              <w:t>103.7</w:t>
            </w:r>
          </w:p>
        </w:tc>
      </w:tr>
      <w:tr>
        <w:trPr>
          <w:trHeight w:val="259"/>
        </w:trPr>
        <w:tc>
          <w:tcPr>
            <w:tcW w:w="50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cs="Times New Roman" w:hAnsi="Times New Roman"/>
                <w:color w:val="000000"/>
                <w:kern w:val="0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</w:rPr>
              <w:t>六、教育文化和娱乐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Times New Roman" w:cs="Times New Roman" w:hAnsi="Times New Roman"/>
                <w:color w:val="000000"/>
                <w:kern w:val="0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</w:rPr>
              <w:t>102.3</w:t>
            </w:r>
          </w:p>
        </w:tc>
      </w:tr>
      <w:tr>
        <w:trPr>
          <w:trHeight w:val="259"/>
        </w:trPr>
        <w:tc>
          <w:tcPr>
            <w:tcW w:w="50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cs="Times New Roman" w:hAnsi="Times New Roman"/>
                <w:color w:val="000000"/>
                <w:kern w:val="0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</w:rPr>
              <w:t>七、医疗保健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Times New Roman" w:cs="Times New Roman" w:hAnsi="Times New Roman"/>
                <w:color w:val="000000"/>
                <w:kern w:val="0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</w:rPr>
              <w:t>101</w:t>
            </w:r>
          </w:p>
        </w:tc>
      </w:tr>
      <w:tr>
        <w:trPr>
          <w:trHeight w:val="273"/>
        </w:trPr>
        <w:tc>
          <w:tcPr>
            <w:tcW w:w="501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cs="Times New Roman" w:hAnsi="Times New Roman"/>
                <w:color w:val="000000"/>
                <w:kern w:val="0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</w:rPr>
              <w:t>八、其他用品和服务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Times New Roman" w:cs="Times New Roman" w:hAnsi="Times New Roman"/>
                <w:color w:val="000000"/>
                <w:kern w:val="0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</w:rPr>
              <w:t>99.7</w:t>
            </w:r>
          </w:p>
        </w:tc>
      </w:tr>
    </w:tbl>
    <w:p>
      <w:pPr>
        <w:spacing w:line="560" w:lineRule="exact"/>
        <w:ind w:firstLineChars="200" w:firstLine="640"/>
        <w:rPr>
          <w:rFonts w:ascii="Times New Roman" w:eastAsia="黑体" w:cs="Times New Roman" w:hAnsi="Times New Roman"/>
          <w:color w:val="000000"/>
          <w:sz w:val="32"/>
          <w:szCs w:val="32"/>
        </w:rPr>
      </w:pPr>
      <w:r>
        <w:rPr>
          <w:rFonts w:ascii="Times New Roman" w:eastAsia="黑体" w:cs="Times New Roman" w:hAnsi="Times New Roman"/>
          <w:color w:val="000000"/>
          <w:sz w:val="32"/>
          <w:szCs w:val="32"/>
        </w:rPr>
        <w:t>二、农林牧渔业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楷体_GB2312" w:cs="Times New Roman" w:hAnsi="Times New Roman"/>
          <w:color w:val="000000"/>
          <w:sz w:val="32"/>
          <w:szCs w:val="32"/>
        </w:rPr>
        <w:t>农业保持稳定增长。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全年实现农林牧渔业总产值728.03亿元，增长4.3%；农林牧渔业增加值432.45亿元，增长3.5%。其中，农业增加值227.60亿元，增长3.5%；林业增加值5.58亿元，下降16.2%；畜牧业增加值 47.47亿元，增长5.1%；渔业增加值117.48亿元，增长3.4%；农林牧渔服务业增加值34.32亿元，增长5.1%。粮食产量稳中有增。全年粮食播种面积共767.59万亩，单产480.47公斤/亩，总产量368.80万吨。同上年相比，粮食播种面积增长 0.1%，总产量增长0.1%。其中，小麦播种面积为369.09万亩，总产量145.29万吨，分别下降0.4%、0.5%；水稻播种面积为314.50万亩，总产量 190.08万吨，分别增长0.1%、0.5%；玉米播种面积为64.80万亩，总产量 27.37万吨，分别下降1.7%、2.5%；薯类播种面积5.36万亩，总产量2.68万吨，分别增长 14.2%、13.4%。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楷体_GB2312" w:cs="Times New Roman" w:hAnsi="Times New Roman"/>
          <w:color w:val="000000"/>
          <w:sz w:val="32"/>
          <w:szCs w:val="32"/>
        </w:rPr>
        <w:t>现代农业稳步提升。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实施高标准农田整域推进工程，建成高标准农田40万亩，推进耕地地力提升行动，落实酸性土壤改良示范，建成酸性土壤改良核心示范区2个，面积达2185亩，新增水肥一体化1万余亩，基本实现主要经济作物全覆盖。落实农畜水产品种质资源普查，征集寄送农作物种质资源样品277份，录入畜禽遗传资源畜种17个、品种42个。推动“高质高效”、“全程全面”农机化发展，全市粮食生产全程机械化水平达84%，特色农机化水平超59%，东海、赣榆入选全省农业生产全程全面机械化示范县。</w:t>
      </w:r>
    </w:p>
    <w:p>
      <w:pPr>
        <w:spacing w:line="560" w:lineRule="exact"/>
        <w:ind w:firstLineChars="200" w:firstLine="640"/>
        <w:rPr>
          <w:rFonts w:ascii="Times New Roman" w:eastAsia="黑体" w:cs="Times New Roman" w:hAnsi="Times New Roman"/>
          <w:color w:val="000000"/>
          <w:sz w:val="32"/>
          <w:szCs w:val="32"/>
        </w:rPr>
      </w:pPr>
      <w:r>
        <w:rPr>
          <w:rFonts w:ascii="Times New Roman" w:eastAsia="黑体" w:cs="Times New Roman" w:hAnsi="Times New Roman"/>
          <w:color w:val="000000"/>
          <w:sz w:val="32"/>
          <w:szCs w:val="32"/>
        </w:rPr>
        <w:t>三、工业和建筑业</w:t>
      </w:r>
    </w:p>
    <w:p>
      <w:pPr>
        <w:spacing w:line="560" w:lineRule="exact"/>
        <w:ind w:firstLineChars="200" w:firstLine="632"/>
        <w:rPr>
          <w:rFonts w:ascii="Times New Roman" w:eastAsia="仿宋_GB2312" w:cs="Times New Roman" w:hAnsi="Times New Roman"/>
          <w:color w:val="000000"/>
          <w:spacing w:val="-2"/>
          <w:sz w:val="32"/>
          <w:szCs w:val="32"/>
        </w:rPr>
      </w:pPr>
      <w:r>
        <w:rPr>
          <w:rFonts w:ascii="Times New Roman" w:eastAsia="楷体_GB2312" w:cs="Times New Roman" w:hAnsi="Times New Roman"/>
          <w:color w:val="000000"/>
          <w:spacing w:val="-2"/>
          <w:sz w:val="32"/>
          <w:szCs w:val="32"/>
        </w:rPr>
        <w:t>工业生产平稳运行。</w:t>
      </w:r>
      <w:r>
        <w:rPr>
          <w:rFonts w:ascii="Times New Roman" w:eastAsia="仿宋_GB2312" w:cs="Times New Roman" w:hAnsi="Times New Roman"/>
          <w:color w:val="000000"/>
          <w:spacing w:val="-2"/>
          <w:sz w:val="32"/>
          <w:szCs w:val="32"/>
        </w:rPr>
        <w:t>全市规模以上工业增加值增长13.4%，两年平均增长8.9%。重点行业增势良好。全年规模以上工业中，黑色金属冶炼和压延加工业产值增长32.4%，化学原料和化学制品制造业产值增长78.7%，医药制造业产值增长1.3%，电力热力生产和供应业产值增长29.2%，农副食品加工业产值增长10.3%，非金属矿物制品业产值增长27.0%，石油、煤炭及其他燃料加工业产值增长16.8%，电气机械和器材制造业产值增长15.8%。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楷体_GB2312" w:cs="Times New Roman" w:hAnsi="Times New Roman"/>
          <w:color w:val="000000"/>
          <w:sz w:val="32"/>
          <w:szCs w:val="32"/>
        </w:rPr>
        <w:t>工业企业盈利能力提升。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全年规模以上工业企业实现利润总额348.30亿元，增长39.6%。分门类看，采矿业利润0.74亿元，增长221.3%；制造业302.04亿元，增长36.2%；电力、热力、燃气及水生产和供应业45.52亿元，增长60.3%。分经济类型看，国有控股企业利润59.25亿元，增长107.8%；股份制企业242.00亿元，增长51.8%；外商及港澳台商投资企业104.24亿元，增长16.8%；私营企业111.10亿元，增长64.6%。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楷体_GB2312" w:cs="Times New Roman" w:hAnsi="Times New Roman"/>
          <w:color w:val="000000"/>
          <w:sz w:val="32"/>
          <w:szCs w:val="32"/>
        </w:rPr>
        <w:t>建筑业增势良好。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全市建筑业完成总产值596.69亿元，增长9.0%，增速比上年提高8.7个百分点。实现建筑业增加值311.22亿元，增长4.0%。全市建筑业签订合同额866.12亿元，增长11.1%，其中本年新签合同586.95亿元，占比达到67.8%，增长10.8%。</w:t>
      </w:r>
    </w:p>
    <w:p>
      <w:pPr>
        <w:spacing w:line="560" w:lineRule="exact"/>
        <w:ind w:firstLineChars="200" w:firstLine="640"/>
        <w:rPr>
          <w:rFonts w:ascii="Times New Roman" w:eastAsia="黑体" w:cs="Times New Roman" w:hAnsi="Times New Roman"/>
          <w:color w:val="000000"/>
          <w:sz w:val="32"/>
          <w:szCs w:val="32"/>
        </w:rPr>
      </w:pPr>
      <w:r>
        <w:rPr>
          <w:rFonts w:ascii="Times New Roman" w:eastAsia="黑体" w:cs="Times New Roman" w:hAnsi="Times New Roman"/>
          <w:color w:val="000000"/>
          <w:sz w:val="32"/>
          <w:szCs w:val="32"/>
        </w:rPr>
        <w:t>四、固定资产投资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楷体_GB2312" w:cs="Times New Roman" w:hAnsi="Times New Roman"/>
          <w:color w:val="000000"/>
          <w:sz w:val="32"/>
          <w:szCs w:val="32"/>
        </w:rPr>
        <w:t>投资增长平稳。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全市固定资产投资2154.78亿元，增长8.4%。其中，项目投资1813.35亿元，增长12.0%；房地产投资341.43亿元，下降7.3%。全年商品房销售面积708.40万平方米，增长16.2%。其中，住宅销售面积661.81万平方米，增长11.7%。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楷体_GB2312" w:cs="Times New Roman" w:hAnsi="Times New Roman"/>
          <w:color w:val="000000"/>
          <w:sz w:val="32"/>
          <w:szCs w:val="32"/>
        </w:rPr>
        <w:t>工业投资较快增长。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全市工业投资完成 1398.43亿元，增长11.6%，高于全部固定资产投资3.2个百分点。其中，工业技改投资完成 333.64亿元，增长1.1%。制造业完成投资1248.77亿元，增长12.6%，其中投资超百亿的行业有：石油煤炭及其它燃料加工业288.69亿元、化学原料和化学制品制造业144.69 亿元、非金属矿物制品业143.20亿元、计算机通信和其它电子设备111.03亿元。</w:t>
      </w:r>
    </w:p>
    <w:p>
      <w:pPr>
        <w:spacing w:line="560" w:lineRule="exact"/>
        <w:ind w:firstLineChars="200" w:firstLine="640"/>
        <w:rPr>
          <w:rFonts w:ascii="Times New Roman" w:eastAsia="黑体" w:cs="Times New Roman" w:hAnsi="Times New Roman"/>
          <w:color w:val="000000"/>
          <w:sz w:val="32"/>
          <w:szCs w:val="32"/>
        </w:rPr>
      </w:pPr>
      <w:r>
        <w:rPr>
          <w:rFonts w:ascii="Times New Roman" w:eastAsia="黑体" w:cs="Times New Roman" w:hAnsi="Times New Roman"/>
          <w:color w:val="000000"/>
          <w:sz w:val="32"/>
          <w:szCs w:val="32"/>
        </w:rPr>
        <w:t>五、国内贸易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楷体_GB2312" w:cs="Times New Roman" w:hAnsi="Times New Roman"/>
          <w:color w:val="000000"/>
          <w:sz w:val="32"/>
          <w:szCs w:val="32"/>
        </w:rPr>
        <w:t>消费品市场增长平稳。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全年社会消费品零售总额1203.31亿元，增长9.0%。全年限额以上单位商品零售额中，基本生活类销售稳步提升，日用品类、烟酒类、粮油食品类分别增长37.1%、16.5%、14.2%；升级类消费需求持续释放，体育娱乐用品类、金银珠宝类、化妆品类、文化办公用品类分别增长61.7%、71.5%、22.5%、35.3%；出行类销售延续平稳势头，石油及制品类、汽车类分别增长34.7%、18.5%，其中，新能源汽车增长309.7%。网络零售快速发展，全市限上单位通过公共网络实现零售额89.34亿元，增长46.4%。</w:t>
      </w:r>
    </w:p>
    <w:p>
      <w:pPr>
        <w:spacing w:line="560" w:lineRule="exact"/>
        <w:ind w:firstLineChars="200" w:firstLine="640"/>
        <w:rPr>
          <w:rFonts w:ascii="Times New Roman" w:eastAsia="黑体" w:cs="Times New Roman" w:hAnsi="Times New Roman"/>
          <w:color w:val="000000"/>
          <w:sz w:val="32"/>
          <w:szCs w:val="32"/>
        </w:rPr>
      </w:pPr>
      <w:r>
        <w:rPr>
          <w:rFonts w:ascii="Times New Roman" w:eastAsia="黑体" w:cs="Times New Roman" w:hAnsi="Times New Roman"/>
          <w:color w:val="000000"/>
          <w:sz w:val="32"/>
          <w:szCs w:val="32"/>
        </w:rPr>
        <w:t>六、开放型经济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楷体_GB2312" w:cs="Times New Roman" w:hAnsi="Times New Roman"/>
          <w:color w:val="000000"/>
          <w:sz w:val="32"/>
          <w:szCs w:val="32"/>
        </w:rPr>
        <w:t>外贸进出口快速增长。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随着传统外贸业态不断积聚新动能，跨境电商新业态转型升级注入新活力，外贸竞争优势不断提升。全市完成外贸进出口总额144.9亿美元，增长55.3 %，其中出口60.1亿美元，增长58.6%，进口84.8亿美元，增长53.0%。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楷体_GB2312" w:cs="Times New Roman" w:hAnsi="Times New Roman"/>
          <w:color w:val="000000"/>
          <w:sz w:val="32"/>
          <w:szCs w:val="32"/>
        </w:rPr>
        <w:t>自贸试验区加快推进。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印发连云港片区产业发展规划，确定“一带三组团九功能区”的功能布局，打造“1+4+4+N”的“全域自贸”体系。培育上报综保区“散进整出”、“政府增信、银行开户”新模式等37项制度创新成果，累计形成制度创新成果总数105项。“创新多式联运协同监管服务体系”入选长三角自贸区十大制度创新案例。省发布两批次复制推广改革试点经验32项、创新实践案例40项，我市分别入选10项、12项。</w:t>
      </w:r>
    </w:p>
    <w:p>
      <w:pPr>
        <w:spacing w:line="560" w:lineRule="exact"/>
        <w:ind w:firstLineChars="200" w:firstLine="640"/>
        <w:rPr>
          <w:rFonts w:ascii="Times New Roman" w:eastAsia="黑体" w:cs="Times New Roman" w:hAnsi="Times New Roman"/>
          <w:color w:val="000000"/>
          <w:sz w:val="32"/>
          <w:szCs w:val="32"/>
        </w:rPr>
      </w:pPr>
      <w:r>
        <w:rPr>
          <w:rFonts w:ascii="Times New Roman" w:eastAsia="黑体" w:cs="Times New Roman" w:hAnsi="Times New Roman"/>
          <w:color w:val="000000"/>
          <w:sz w:val="32"/>
          <w:szCs w:val="32"/>
        </w:rPr>
        <w:t>七、交通、邮电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楷体_GB2312" w:cs="Times New Roman" w:hAnsi="Times New Roman"/>
          <w:color w:val="000000"/>
          <w:sz w:val="32"/>
          <w:szCs w:val="32"/>
        </w:rPr>
        <w:t>交通运输业总体平稳。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全市机场飞机起降1.51万架次，增长27.8%；旅客吞吐量123.33万人次，增长27.8%；货邮行吞吐量1.26万吨，增长142.3%。全市港口完成货物吞吐量2.77亿吨，增长10.1%，其中外贸货物吞吐量1.39亿吨，增长5.1%；集装箱吞吐量509万标准集装箱，增长6.0%。全市境内铁路客运量1345.62万人，增长134.9%；境内铁路货运量6614万吨，增长4.2%。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楷体_GB2312" w:cs="Times New Roman" w:hAnsi="Times New Roman"/>
          <w:color w:val="000000"/>
          <w:sz w:val="32"/>
          <w:szCs w:val="32"/>
        </w:rPr>
        <w:t>邮政电信业快速发展。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全年邮政通讯总收入86.85亿元，增长24.8%；其中，邮政速递业务收入39.83亿元，增长41.7%，通信业务收入47.02亿元，增长13.3%。全年邮政快递业务量41088万件，增长59.1%。全市电话用户557万户，增长1.2%；移动电话用户510万户，增长1.7%。全市全部互联网用户604万户，增长4.5%。</w:t>
      </w:r>
    </w:p>
    <w:p>
      <w:pPr>
        <w:spacing w:line="560" w:lineRule="exact"/>
        <w:ind w:firstLineChars="200" w:firstLine="640"/>
        <w:rPr>
          <w:rFonts w:ascii="Times New Roman" w:eastAsia="黑体" w:cs="Times New Roman" w:hAnsi="Times New Roman"/>
          <w:color w:val="000000"/>
          <w:sz w:val="32"/>
          <w:szCs w:val="32"/>
        </w:rPr>
      </w:pPr>
      <w:r>
        <w:rPr>
          <w:rFonts w:ascii="Times New Roman" w:eastAsia="黑体" w:cs="Times New Roman" w:hAnsi="Times New Roman"/>
          <w:color w:val="000000"/>
          <w:sz w:val="32"/>
          <w:szCs w:val="32"/>
        </w:rPr>
        <w:t>八、财政、金融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楷体_GB2312" w:cs="Times New Roman" w:hAnsi="Times New Roman"/>
          <w:color w:val="000000"/>
          <w:sz w:val="32"/>
          <w:szCs w:val="32"/>
        </w:rPr>
        <w:t>财政收支稳定增长。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全年实现一般公共预算收入274.81亿元，增长12.1%。其中，增值税83.89亿元，增长61.3%；企业所得税40.11亿元，增长31.1%；个人所得税10.87亿元，增长18.7%；城市维护建设税12.35亿元，增长16.6%。全年一般公共预算支出534.05亿元，增长6.4%。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楷体_GB2312" w:cs="Times New Roman" w:hAnsi="Times New Roman"/>
          <w:color w:val="000000"/>
          <w:sz w:val="32"/>
          <w:szCs w:val="32"/>
        </w:rPr>
        <w:t>金融信贷规模扩大。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年末全市金融机构人民币存款余额4786.94亿元，比年初增加526.32亿元。其中，住户存款2073.47亿元，非金融企业存款1829.35亿元。年末金融机构人民币贷款余额5197.05亿元，比年初增加938.32亿元。</w:t>
      </w:r>
    </w:p>
    <w:p>
      <w:pPr>
        <w:spacing w:line="560" w:lineRule="exact"/>
        <w:ind w:firstLineChars="200" w:firstLine="640"/>
        <w:rPr>
          <w:rFonts w:ascii="Times New Roman" w:eastAsia="黑体" w:cs="Times New Roman" w:hAnsi="Times New Roman"/>
          <w:color w:val="000000"/>
          <w:sz w:val="32"/>
          <w:szCs w:val="32"/>
        </w:rPr>
      </w:pPr>
      <w:r>
        <w:rPr>
          <w:rFonts w:ascii="Times New Roman" w:eastAsia="黑体" w:cs="Times New Roman" w:hAnsi="Times New Roman"/>
          <w:color w:val="000000"/>
          <w:sz w:val="32"/>
          <w:szCs w:val="32"/>
        </w:rPr>
        <w:t>九、科学技术和教育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楷体_GB2312" w:cs="Times New Roman" w:hAnsi="Times New Roman"/>
          <w:color w:val="000000"/>
          <w:sz w:val="32"/>
          <w:szCs w:val="32"/>
        </w:rPr>
        <w:t>创新能力持续增强。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规模以上工业战略性新兴产业实现产值1523.04亿元，增长25.7%，占全部规模以上工业总产值比重为41.9%；全社会研发投入占GDP比重达2.24%，增长0.1个百分点；科技进步贡献率达58.3%，增长1.2个百分点。6家企业入选省百强创新型企业，6家单位和个人荣获首届江苏省科技创新发展奖。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楷体_GB2312" w:cs="Times New Roman" w:hAnsi="Times New Roman"/>
          <w:color w:val="000000"/>
          <w:sz w:val="32"/>
          <w:szCs w:val="32"/>
        </w:rPr>
        <w:t>科创平台加快推进。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江苏海洋大学国家大学科技园成功获批。燃气轮机大科学装置成立技术委员会，挂牌成立院士之家，燃烧室试验平台首次点火、一次成功。“九地合作”深入推进。花果山农业科学中心揭牌。千亿级“中华药港”加速布局。5万吨高性能碳纤维基地加速落地。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楷体_GB2312" w:cs="Times New Roman" w:hAnsi="Times New Roman"/>
          <w:color w:val="000000"/>
          <w:sz w:val="32"/>
          <w:szCs w:val="32"/>
        </w:rPr>
        <w:t>教育服务能力稳步增强。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教育现代化苏北领先，教育投入持续加大，优质教育资源覆盖面不断扩大。全年新改扩建中小学、幼儿园45所；全市625所、占比99.52%的义务教育学校达省定办学标准，优质高中占比提高至100%；全年新招聘教师2000余名，全市中小学教师编制数达4.19万个。</w:t>
      </w:r>
    </w:p>
    <w:p>
      <w:pPr>
        <w:spacing w:line="560" w:lineRule="exact"/>
        <w:ind w:firstLineChars="200" w:firstLine="640"/>
        <w:rPr>
          <w:rFonts w:ascii="Times New Roman" w:eastAsia="黑体" w:cs="Times New Roman" w:hAnsi="Times New Roman"/>
          <w:color w:val="000000"/>
          <w:sz w:val="32"/>
          <w:szCs w:val="32"/>
        </w:rPr>
      </w:pPr>
      <w:r>
        <w:rPr>
          <w:rFonts w:ascii="Times New Roman" w:eastAsia="黑体" w:cs="Times New Roman" w:hAnsi="Times New Roman"/>
          <w:color w:val="000000"/>
          <w:sz w:val="32"/>
          <w:szCs w:val="32"/>
        </w:rPr>
        <w:t>十、文化旅游、卫生和体育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楷体_GB2312" w:cs="Times New Roman" w:hAnsi="Times New Roman"/>
          <w:color w:val="000000"/>
          <w:sz w:val="32"/>
          <w:szCs w:val="32"/>
        </w:rPr>
        <w:t>文化旅游服务水平不断提升。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全年人均接受文化场馆服务次数4.41次。完善基层文化旅游设施，建成路南街道分馆、移动分馆等5个市图书馆分馆，市县7个文化馆通过国家一级馆复评，提升改造室内外小剧场59个，公布示范文化站30家，完成旅游厕所建设26座，新增旅游公交线路5条，开通旅游直通车2条，新设（更新）旅游交通标识牌140块，14家公共文化场馆入选省“最美公共文化空间”，13支文化群众团队入选省优秀群众文化团队培育对象。全域旅游、文旅融合取得积极进展，创成国家文化和旅游消费试点城市。开展“国人游港城”惠民生促消费活动，面向省内外游客发放免费电子旅游门票11万余张。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楷体_GB2312" w:cs="Times New Roman" w:hAnsi="Times New Roman"/>
          <w:color w:val="000000"/>
          <w:sz w:val="32"/>
          <w:szCs w:val="32"/>
        </w:rPr>
        <w:t>卫生事业发展取得积极成效。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全市县医院均达到国家三级医院推荐标准。新增7个省级农村区域性医疗卫生中心和7个省级社区医院。累计73个乡镇卫生院、社区卫生服务中心达基本标准以上能力。新增20个达推荐标准村卫生室（甲级村卫生室）。基本公共卫生服务项目人均补助标准提高至88元。截至年末，全市累计接种新冠病毒疫苗408.81万人、873.33万剂次，全人群首剂接种率达88.9%，全程接种率达83.3%。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楷体_GB2312" w:cs="Times New Roman" w:hAnsi="Times New Roman"/>
          <w:color w:val="000000"/>
          <w:sz w:val="32"/>
          <w:szCs w:val="32"/>
        </w:rPr>
        <w:t>体育事业稳步发展。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人均拥有体育场地面积达3.07平方米，常年参加体育活动人口占全市总人口的40.6%以上。完成30项沿河沿路体育设施建设任务，新建改扩建体育公园9个，新增健身步道超过25公里，新增更新健身路径216套、球场112片。</w:t>
      </w:r>
    </w:p>
    <w:p>
      <w:pPr>
        <w:spacing w:line="560" w:lineRule="exact"/>
        <w:ind w:firstLineChars="200" w:firstLine="640"/>
        <w:rPr>
          <w:rFonts w:ascii="Times New Roman" w:eastAsia="黑体" w:cs="Times New Roman" w:hAnsi="Times New Roman"/>
          <w:color w:val="000000"/>
          <w:sz w:val="32"/>
          <w:szCs w:val="32"/>
        </w:rPr>
      </w:pPr>
      <w:r>
        <w:rPr>
          <w:rFonts w:ascii="黑体" w:eastAsia="黑体" w:cs="Times New Roman"/>
          <w:color w:val="000000"/>
          <w:sz w:val="32"/>
          <w:szCs w:val="32"/>
        </w:rPr>
        <w:t>十一、</w:t>
      </w:r>
      <w:r>
        <w:rPr>
          <w:rFonts w:ascii="Times New Roman" w:eastAsia="黑体" w:cs="Times New Roman" w:hAnsi="Times New Roman"/>
          <w:color w:val="000000"/>
          <w:sz w:val="32"/>
          <w:szCs w:val="32"/>
        </w:rPr>
        <w:t>城乡建设和环境保护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楷体_GB2312" w:cs="Times New Roman" w:hAnsi="Times New Roman"/>
          <w:color w:val="000000"/>
          <w:sz w:val="32"/>
          <w:szCs w:val="32"/>
        </w:rPr>
        <w:t>城乡建设发展更加协调。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新改建公园6个、游园18个，新增绿地380公顷，市区绿化覆盖率达42.5%。海绵城市面积达48平方公里，2021年完成13.36平方公里。新辟优化市区公交线路23条，清洁能源公交实现全覆盖，新增智慧停车位2000个。新建污水管网297公里，投产输变电工程35项。实施老旧小区改造150个，560个居民小区实行垃圾分类。累计改善农房4.97万户，2021年改善8212户。实施农村人居环境五年整治提升行动，推进农村户厕问题排查整改，累计摸排农村户厕90.66万户，完成分类整改1.32万户。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楷体_GB2312" w:cs="Times New Roman" w:hAnsi="Times New Roman"/>
          <w:color w:val="000000"/>
          <w:sz w:val="32"/>
          <w:szCs w:val="32"/>
        </w:rPr>
        <w:t>生态环境明显改善。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全市PM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vertAlign w:val="subscript"/>
        </w:rPr>
        <w:t>2.5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浓度32微克/立方米，同比改善13.5%；空气质量优良天数比率83.8%，同比上升4个百分点。全市45个国省考断面达到或优于</w:t>
      </w:r>
      <w:r>
        <w:rPr>
          <w:rFonts w:ascii="宋体" w:cs="Times New Roman"/>
          <w:color w:val="000000"/>
          <w:sz w:val="32"/>
          <w:szCs w:val="32"/>
        </w:rPr>
        <w:t>Ⅲ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类水标准比例为86.7%，劣V类断面全面消除。全市土壤和地下水环境质量总体保持稳定，受污染耕地安全利用率99.2%，污染地块安全利用率100%。全年完成绿化造林4.4万亩，新建省级绿美村庄50个，新建、完善农田林网27.1万亩，四旁植树546万株。建设生态安全缓冲区2处，新建生态护坡及水源涵养林2处。推动海岛、岸线生态修复，全市生态修复岸线长度累计达80余公里。</w:t>
      </w:r>
    </w:p>
    <w:p>
      <w:pPr>
        <w:spacing w:line="560" w:lineRule="exact"/>
        <w:ind w:firstLineChars="200" w:firstLine="640"/>
        <w:rPr>
          <w:rFonts w:ascii="Times New Roman" w:eastAsia="黑体" w:cs="Times New Roman" w:hAnsi="Times New Roman"/>
          <w:color w:val="000000"/>
          <w:sz w:val="32"/>
          <w:szCs w:val="32"/>
        </w:rPr>
      </w:pPr>
      <w:r>
        <w:rPr>
          <w:rFonts w:ascii="Times New Roman" w:eastAsia="黑体" w:cs="Times New Roman" w:hAnsi="Times New Roman"/>
          <w:color w:val="000000"/>
          <w:sz w:val="32"/>
          <w:szCs w:val="32"/>
        </w:rPr>
        <w:t>十二、人民生活和社会保障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 w:hint="eastAsia"/>
          <w:color w:val="000000"/>
          <w:sz w:val="32"/>
          <w:szCs w:val="32"/>
        </w:rPr>
      </w:pPr>
      <w:r>
        <w:rPr>
          <w:rFonts w:ascii="Times New Roman" w:eastAsia="楷体_GB2312" w:cs="Times New Roman" w:hAnsi="Times New Roman"/>
          <w:color w:val="000000"/>
          <w:sz w:val="32"/>
          <w:szCs w:val="32"/>
        </w:rPr>
        <w:t>居民收入增长步伐加快。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全市经济运行稳步恢复，经济增长动力强劲，就业形势稳中向好，民生保障落实到位，居民收入保持恢复性增长。全市居民人均可支配收入32295元，增长9.5%。其中，城镇居民人均可支配收入39862元，增长8.5%；农村居民人均可支配收入21373元，增长11.1%。</w:t>
      </w:r>
    </w:p>
    <w:p>
      <w:pPr>
        <w:spacing w:line="40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</w:rPr>
      </w:pPr>
    </w:p>
    <w:p>
      <w:pPr>
        <w:spacing w:line="54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</w:rPr>
      </w:pPr>
    </w:p>
    <w:p>
      <w:pPr>
        <w:spacing w:line="54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</w:rPr>
      </w:pPr>
    </w:p>
    <w:p>
      <w:pPr>
        <w:spacing w:line="54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</w:rPr>
        <w:drawing>
          <wp:anchor distT="85344" distB="116204" distL="333756" distR="344805" simplePos="0" relativeHeight="15" behindDoc="0" locked="0" layoutInCell="1" hidden="0" allowOverlap="1">
            <wp:simplePos x="0" y="0"/>
            <wp:positionH relativeFrom="column">
              <wp:posOffset>328489</wp:posOffset>
            </wp:positionH>
            <wp:positionV relativeFrom="paragraph">
              <wp:posOffset>-695166</wp:posOffset>
            </wp:positionV>
            <wp:extent cx="5423177" cy="3391234"/>
            <wp:effectExtent l="0" t="0" r="0" b="0"/>
            <wp:wrapNone/>
            <wp:docPr id="2" name="图片 2"/>
            <wp:cNvGraphicFramePr>
              <a:graphicFrameLocks noChangeAspect="0"/>
            </wp:cNvGraphicFramePr>
            <a:graphic>
              <a:graphicData uri="http://schemas.openxmlformats.org/drawingml/2006/chart">
                <c:chart xmlns:c="http://schemas.openxmlformats.org/drawingml/2006/chart" r:id="rId5"/>
              </a:graphicData>
            </a:graphic>
          </wp:anchor>
        </w:drawing>
      </w:r>
    </w:p>
    <w:p>
      <w:pPr>
        <w:spacing w:line="54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</w:rPr>
      </w:pPr>
    </w:p>
    <w:p>
      <w:pPr>
        <w:spacing w:line="54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</w:rPr>
      </w:pPr>
    </w:p>
    <w:p>
      <w:pPr>
        <w:spacing w:line="54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</w:rPr>
      </w:pPr>
    </w:p>
    <w:p>
      <w:pPr>
        <w:spacing w:line="54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</w:rPr>
      </w:pPr>
    </w:p>
    <w:p>
      <w:pPr>
        <w:spacing w:line="540" w:lineRule="exact"/>
        <w:ind w:firstLineChars="200" w:firstLine="640"/>
        <w:rPr>
          <w:rFonts w:ascii="Times New Roman" w:eastAsia="楷体" w:cs="Times New Roman" w:hAnsi="Times New Roman"/>
          <w:color w:val="000000"/>
          <w:sz w:val="32"/>
          <w:szCs w:val="32"/>
        </w:rPr>
      </w:pPr>
    </w:p>
    <w:p>
      <w:pPr>
        <w:spacing w:line="540" w:lineRule="exact"/>
        <w:ind w:firstLineChars="200" w:firstLine="640"/>
        <w:rPr>
          <w:rFonts w:ascii="Times New Roman" w:eastAsia="楷体" w:cs="Times New Roman" w:hAnsi="Times New Roman"/>
          <w:color w:val="000000"/>
          <w:sz w:val="32"/>
          <w:szCs w:val="32"/>
        </w:rPr>
      </w:pPr>
    </w:p>
    <w:p>
      <w:pPr>
        <w:spacing w:line="540" w:lineRule="exact"/>
        <w:ind w:firstLineChars="200" w:firstLine="640"/>
        <w:rPr>
          <w:rFonts w:ascii="Times New Roman" w:eastAsia="楷体" w:cs="Times New Roman" w:hAnsi="Times New Roman"/>
          <w:color w:val="000000"/>
          <w:sz w:val="32"/>
          <w:szCs w:val="32"/>
        </w:rPr>
      </w:pPr>
    </w:p>
    <w:p>
      <w:pPr>
        <w:spacing w:line="54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楷体_GB2312" w:cs="Times New Roman" w:hAnsi="Times New Roman"/>
          <w:color w:val="000000"/>
          <w:sz w:val="32"/>
          <w:szCs w:val="32"/>
        </w:rPr>
        <w:t>就业形势稳中向好。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稳定就业岗位，全年减征社保费9.3亿元，发放稳岗返还资金1.6亿元，提供就业岗位34.8万个次，实现全市城镇新增就业6万人。保障重点群体，发放失业保险待遇2.8亿元、社保补贴1.7亿元，新增转移农村劳动力3万人，帮扶困难人员就业3.3万人，开发公益性岗位1.5万个。强化创业扶持，发放富民创业担保贷款9.4亿元，扶持自主创业2.2万人。夯实技能支撑，实施补贴性职业技能培训16.5万人次，发放培训补贴1.1亿元。</w:t>
      </w:r>
    </w:p>
    <w:p>
      <w:pPr>
        <w:spacing w:line="54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楷体" w:cs="Times New Roman" w:hAnsi="Times New Roman"/>
          <w:color w:val="000000"/>
          <w:sz w:val="32"/>
          <w:szCs w:val="32"/>
        </w:rPr>
        <w:t>社会保障稳步推进。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全民参保精准扩面，企业职工养老保险新增参保缴费7.9万人，落实被征地农民社会保障7600人，建筑业工程项目工伤保险参保率100%。待遇水平稳步提升，实施企业退休人员养老金“十七连调”，城乡居民基本养老保险基础养老金“十连增”基础上“二次提标”提高至人均211元/月。新增护理院1家、医养结合机构3家，医养结合床位累计达到3328张。全市共有89家医疗机构确定为省级老年友善医疗机构，创建率达63%，其中6家医疗机构获得省级老年友善医疗机构优秀单位。</w:t>
      </w:r>
    </w:p>
    <w:p>
      <w:pPr>
        <w:spacing w:line="540" w:lineRule="exact"/>
        <w:rPr>
          <w:rFonts w:ascii="Times New Roman" w:eastAsia="仿宋_GB2312" w:cs="Times New Roman" w:hAnsi="Times New Roman"/>
          <w:color w:val="000000"/>
          <w:sz w:val="32"/>
          <w:szCs w:val="32"/>
        </w:rPr>
      </w:pPr>
    </w:p>
    <w:p>
      <w:pPr>
        <w:spacing w:line="540" w:lineRule="exact"/>
        <w:ind w:leftChars="228" w:left="1319" w:hangingChars="350" w:hanging="8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注：1. 公报中地区生产总值和各产业增加值绝对值按现行价格计算，增长速度按可比价格计算。</w:t>
      </w:r>
    </w:p>
    <w:p>
      <w:pPr>
        <w:spacing w:line="540" w:lineRule="exact"/>
        <w:ind w:leftChars="456" w:left="1198" w:hangingChars="100" w:hanging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2. 公报中部分数据为初步统计数，正式统计数据以《连云港统计年鉴》为准。</w:t>
      </w:r>
    </w:p>
    <w:p>
      <w:pPr>
        <w:ind w:firstLine="645"/>
        <w:rPr>
          <w:rFonts w:ascii="Times New Roman" w:eastAsia="仿宋_GB2312" w:cs="Times New Roman" w:hAnsi="Times New Roman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80"/>
        <w:rPr>
          <w:rFonts w:ascii="Times New Roman" w:eastAsia="仿宋" w:cs="Times New Roman" w:hAnsi="Times New Roman"/>
          <w:bCs/>
          <w:color w:val="000000"/>
          <w:kern w:val="0"/>
          <w:sz w:val="32"/>
          <w:szCs w:val="32"/>
        </w:rPr>
      </w:pPr>
    </w:p>
    <w:p>
      <w:pPr>
        <w:spacing w:line="480" w:lineRule="exact"/>
        <w:jc w:val="left"/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</w:pPr>
    </w:p>
    <w:p>
      <w:pPr>
        <w:spacing w:line="480" w:lineRule="exact"/>
        <w:jc w:val="left"/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</w:pPr>
    </w:p>
    <w:p>
      <w:pPr>
        <w:spacing w:line="480" w:lineRule="exact"/>
        <w:jc w:val="left"/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</w:pPr>
    </w:p>
    <w:p>
      <w:pPr>
        <w:spacing w:line="480" w:lineRule="exact"/>
        <w:jc w:val="left"/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</w:pPr>
    </w:p>
    <w:p>
      <w:pPr>
        <w:spacing w:line="480" w:lineRule="exact"/>
        <w:jc w:val="left"/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</w:pPr>
    </w:p>
    <w:p>
      <w:pPr>
        <w:spacing w:line="480" w:lineRule="exact"/>
        <w:jc w:val="left"/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</w:pPr>
    </w:p>
    <w:p>
      <w:pPr>
        <w:spacing w:line="480" w:lineRule="exact"/>
        <w:jc w:val="left"/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</w:pPr>
    </w:p>
    <w:p>
      <w:pPr>
        <w:spacing w:line="480" w:lineRule="exact"/>
        <w:jc w:val="left"/>
        <w:rPr>
          <w:rFonts w:ascii="Times New Roman" w:eastAsia="仿宋_GB2312" w:cs="Times New Roman" w:hAnsi="Times New Roman" w:hint="eastAsia"/>
          <w:color w:val="000000"/>
          <w:kern w:val="0"/>
          <w:sz w:val="32"/>
          <w:szCs w:val="32"/>
        </w:rPr>
      </w:pPr>
    </w:p>
    <w:p>
      <w:pPr>
        <w:spacing w:line="480" w:lineRule="exact"/>
        <w:jc w:val="left"/>
        <w:rPr>
          <w:rFonts w:ascii="Times New Roman" w:eastAsia="仿宋_GB2312" w:cs="Times New Roman" w:hAnsi="Times New Roman" w:hint="eastAsia"/>
          <w:color w:val="000000"/>
          <w:kern w:val="0"/>
          <w:sz w:val="32"/>
          <w:szCs w:val="32"/>
        </w:rPr>
      </w:pPr>
    </w:p>
    <w:p>
      <w:pPr>
        <w:spacing w:line="480" w:lineRule="exact"/>
        <w:jc w:val="left"/>
        <w:rPr>
          <w:rFonts w:ascii="Times New Roman" w:eastAsia="仿宋_GB2312" w:cs="Times New Roman" w:hAnsi="Times New Roman"/>
          <w:color w:val="000000"/>
          <w:sz w:val="28"/>
          <w:szCs w:val="28"/>
        </w:rPr>
      </w:pPr>
    </w:p>
    <w:sectPr>
      <w:footerReference w:type="default" r:id="rId2"/>
      <w:footerReference w:type="even" r:id="rId3"/>
      <w:pgSz w:w="11906" w:h="16838"/>
      <w:pgMar w:top="2098" w:right="1474" w:bottom="1985" w:left="1588" w:header="851" w:footer="1400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DejaVu San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方正大标宋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永中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方正小标宋简体">
    <w:altName w:val="方正大标宋_GBK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方正大标宋_GBK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楷体_GB2312">
    <w:altName w:val="永中楷体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楷体">
    <w:altName w:val="永中楷体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">
    <w:altName w:val="永中仿宋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mbria">
    <w:altName w:val="DejaVu Sans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溘冼_GB2312">
    <w:altName w:val="方正大标宋_GBK"/>
    <w:panose1 w:val="00000000000000000000"/>
    <w:charset w:val="88"/>
    <w:family w:val="modern"/>
    <w:pitch w:val="variable"/>
    <w:sig w:usb0="00000001" w:usb1="08080000" w:usb2="00000010" w:usb3="00000000" w:csb0="001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  <w:wordWrap w:val="0"/>
      <w:jc w:val="right"/>
      <w:rPr>
        <w:rFonts w:ascii="Times New Roman" w:eastAsia="宋体" w:cs="Times New Roman" w:hAnsi="Times New Roman"/>
        <w:sz w:val="28"/>
        <w:szCs w:val="28"/>
      </w:rPr>
    </w:pPr>
    <w:r>
      <w:rPr>
        <w:rFonts w:ascii="Times New Roman" w:eastAsia="宋体" w:cs="Times New Roman" w:hAnsi="Times New Roman"/>
        <w:sz w:val="28"/>
        <w:szCs w:val="28"/>
      </w:rPr>
      <w:t xml:space="preserve">— </w:t>
    </w:r>
    <w:r>
      <w:rPr>
        <w:rFonts w:ascii="Times New Roman" w:eastAsia="宋体" w:cs="Times New Roman" w:hAnsi="Times New Roman"/>
        <w:sz w:val="28"/>
        <w:szCs w:val="28"/>
      </w:rPr>
      <w:fldChar w:fldCharType="begin"/>
    </w:r>
    <w:r>
      <w:rPr>
        <w:rFonts w:ascii="Times New Roman" w:eastAsia="宋体" w:cs="Times New Roman" w:hAnsi="Times New Roman"/>
        <w:sz w:val="28"/>
        <w:szCs w:val="28"/>
      </w:rPr>
      <w:instrText>PAGE   \* MERGEFORMAT</w:instrText>
    </w:r>
    <w:r>
      <w:rPr>
        <w:rFonts w:ascii="Times New Roman" w:eastAsia="宋体" w:cs="Times New Roman" w:hAnsi="Times New Roman"/>
        <w:sz w:val="28"/>
        <w:szCs w:val="28"/>
      </w:rPr>
      <w:fldChar w:fldCharType="separate"/>
    </w:r>
    <w:r>
      <w:rPr>
        <w:rFonts w:ascii="Times New Roman" w:eastAsia="宋体" w:cs="Times New Roman" w:hAnsi="Times New Roman"/>
        <w:sz w:val="28"/>
        <w:szCs w:val="28"/>
        <w:lang w:val="zh-CN"/>
      </w:rPr>
      <w:t>13</w:t>
    </w:r>
    <w:r>
      <w:rPr>
        <w:rFonts w:ascii="Times New Roman" w:eastAsia="宋体" w:cs="Times New Roman" w:hAnsi="Times New Roman"/>
        <w:sz w:val="28"/>
        <w:szCs w:val="28"/>
      </w:rPr>
      <w:fldChar w:fldCharType="end"/>
    </w:r>
    <w:r>
      <w:rPr>
        <w:rFonts w:ascii="Times New Roman" w:eastAsia="宋体" w:cs="Times New Roman" w:hAnsi="Times New Roman"/>
        <w:sz w:val="28"/>
        <w:szCs w:val="28"/>
      </w:rPr>
      <w:t xml:space="preserve"> — </w: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rPr>
        <w:rFonts w:ascii="Times New Roman" w:cs="Times New Roman" w:hAnsi="Times New Roman"/>
      </w:rPr>
      <w:id w:val="-1625419366"/>
      <w:docPartObj>
        <w:docPartGallery w:val="Page Numbers (Bottom of Page)"/>
        <w:docPartUnique/>
      </w:docPartObj>
    </w:sdtPr>
    <w:sdtEndPr>
      <w:rPr>
        <w:rFonts w:eastAsia="宋体"/>
        <w:sz w:val="28"/>
        <w:szCs w:val="28"/>
      </w:rPr>
    </w:sdtEndPr>
    <w:sdtContent>
      <w:p>
        <w:pPr>
          <w:pStyle w:val="17"/>
          <w:tabs>
            <w:tab w:val="center" w:pos="4153"/>
            <w:tab w:val="right" w:pos="8306"/>
          </w:tabs>
          <w:rPr>
            <w:rFonts w:ascii="Times New Roman" w:eastAsia="宋体" w:cs="Times New Roman" w:hAnsi="Times New Roman"/>
            <w:sz w:val="28"/>
            <w:szCs w:val="28"/>
          </w:rPr>
        </w:pPr>
        <w:r>
          <w:rPr>
            <w:rFonts w:ascii="Times New Roman" w:eastAsia="宋体" w:cs="Times New Roman" w:hAnsi="Times New Roman"/>
            <w:sz w:val="28"/>
            <w:szCs w:val="28"/>
          </w:rPr>
          <w:t xml:space="preserve">— </w:t>
        </w:r>
        <w:r>
          <w:rPr>
            <w:rFonts w:ascii="Times New Roman" w:eastAsia="宋体" w:cs="Times New Roman" w:hAnsi="Times New Roman"/>
            <w:sz w:val="28"/>
            <w:szCs w:val="28"/>
          </w:rPr>
          <w:fldChar w:fldCharType="begin"/>
        </w:r>
        <w:r>
          <w:rPr>
            <w:rFonts w:ascii="Times New Roman" w:eastAsia="宋体" w:cs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eastAsia="宋体" w:cs="Times New Roman" w:hAnsi="Times New Roman"/>
            <w:sz w:val="28"/>
            <w:szCs w:val="28"/>
          </w:rPr>
          <w:fldChar w:fldCharType="separate"/>
        </w:r>
        <w:r>
          <w:rPr>
            <w:rFonts w:ascii="Times New Roman" w:eastAsia="宋体" w:cs="Times New Roman" w:hAnsi="Times New Roman"/>
            <w:sz w:val="28"/>
            <w:szCs w:val="28"/>
            <w:lang w:val="zh-CN"/>
          </w:rPr>
          <w:t>12</w:t>
        </w:r>
        <w:r>
          <w:rPr>
            <w:rFonts w:ascii="Times New Roman" w:eastAsia="宋体" w:cs="Times New Roman" w:hAnsi="Times New Roman"/>
            <w:sz w:val="28"/>
            <w:szCs w:val="28"/>
          </w:rPr>
          <w:fldChar w:fldCharType="end"/>
        </w:r>
        <w:r>
          <w:rPr>
            <w:rFonts w:ascii="Times New Roman" w:eastAsia="宋体" w:cs="Times New Roman" w:hAnsi="Times New Roman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6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rFonts w:ascii="Calibri" w:eastAsia="宋体" w:cs="Arial" w:hAnsi="Calibri"/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Cambria" w:eastAsia="宋体" w:cs="Times New Roman" w:hAnsi="Cambria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List Paragraph"/>
    <w:basedOn w:val="0"/>
    <w:pPr>
      <w:ind w:firstLineChars="200" w:firstLine="200"/>
    </w:p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styleId="19">
    <w:name w:val="Balloon Text"/>
    <w:basedOn w:val="0"/>
    <w:rPr>
      <w:sz w:val="18"/>
      <w:szCs w:val="18"/>
    </w:rPr>
  </w:style>
  <w:style w:type="paragraph" w:styleId="20">
    <w:name w:val="Plain Text"/>
    <w:basedOn w:val="0"/>
    <w:rPr>
      <w:rFonts w:ascii="宋体" w:cs="宋体"/>
    </w:rPr>
  </w:style>
  <w:style w:type="character" w:styleId="21">
    <w:name w:val="Strong"/>
    <w:basedOn w:val="10"/>
    <w:rPr>
      <w:b/>
      <w:bCs/>
    </w:rPr>
  </w:style>
  <w:style w:type="paragraph" w:customStyle="1" w:styleId="22">
    <w:name w:val="p0"/>
    <w:basedOn w:val="0"/>
    <w:pPr>
      <w:widowControl/>
    </w:pPr>
    <w:rPr>
      <w:rFonts w:ascii="Times New Roman" w:cs="Times New Roman" w:hAnsi="Times New Roman"/>
      <w:kern w:val="0"/>
    </w:rPr>
  </w:style>
  <w:style w:type="character" w:customStyle="1" w:styleId="23">
    <w:name w:val="apple-converted-space"/>
    <w:basedOn w:val="10"/>
  </w:style>
  <w:style w:type="paragraph" w:styleId="24">
    <w:name w:val="Body Text Indent"/>
    <w:basedOn w:val="0"/>
    <w:pPr>
      <w:ind w:firstLineChars="200" w:firstLine="200"/>
      <w:jc w:val="left"/>
    </w:pPr>
    <w:rPr>
      <w:rFonts w:ascii="Times New Roman" w:cs="Times New Roman" w:hAnsi="Times New Roman"/>
      <w:sz w:val="32"/>
      <w:szCs w:val="32"/>
    </w:rPr>
  </w:style>
  <w:style w:type="character" w:styleId="25">
    <w:name w:val="Hyperlink"/>
    <w:basedOn w:val="10"/>
    <w:rPr>
      <w:color w:val="000000"/>
      <w:u w:val="none"/>
    </w:rPr>
  </w:style>
  <w:style w:type="character" w:customStyle="1" w:styleId="26">
    <w:name w:val="UserStyle_0"/>
  </w:style>
  <w:style w:type="character" w:styleId="27">
    <w:name w:val="page number"/>
    <w:basedOn w:val="10"/>
  </w:style>
  <w:style w:type="paragraph" w:styleId="28">
    <w:name w:val="Date"/>
    <w:basedOn w:val="0"/>
    <w:next w:val="0"/>
    <w:pPr>
      <w:ind w:leftChars="2500" w:left="2500"/>
    </w:pPr>
    <w:rPr>
      <w:rFonts w:ascii="Times New Roman" w:cs="Times New Roman" w:hAnsi="Times New Roman"/>
    </w:rPr>
  </w:style>
  <w:style w:type="paragraph" w:customStyle="1" w:styleId="29">
    <w:name w:val="Char Char Char"/>
    <w:basedOn w:val="0"/>
    <w:rPr>
      <w:rFonts w:ascii="Tahoma" w:cs="Tahoma" w:hAnsi="Tahoma"/>
      <w:sz w:val="24"/>
      <w:szCs w:val="24"/>
    </w:rPr>
  </w:style>
  <w:style w:type="paragraph" w:customStyle="1" w:styleId="30">
    <w:name w:val="主送单位"/>
    <w:basedOn w:val="0"/>
    <w:pPr>
      <w:widowControl/>
      <w:autoSpaceDE w:val="0"/>
      <w:autoSpaceDN w:val="0"/>
      <w:adjustRightInd w:val="0"/>
      <w:spacing w:line="560" w:lineRule="exact"/>
    </w:pPr>
    <w:rPr>
      <w:rFonts w:ascii="溘冼_GB2312" w:eastAsia="溘冼_GB2312" w:cs="溘冼_GB2312"/>
      <w:spacing w:val="-4"/>
      <w:kern w:val="0"/>
      <w:sz w:val="32"/>
      <w:szCs w:val="32"/>
    </w:rPr>
  </w:style>
  <w:style w:type="paragraph" w:customStyle="1" w:styleId="31">
    <w:name w:val="线型"/>
    <w:basedOn w:val="0"/>
    <w:pPr>
      <w:widowControl/>
      <w:autoSpaceDE w:val="0"/>
      <w:autoSpaceDN w:val="0"/>
      <w:adjustRightInd w:val="0"/>
      <w:jc w:val="center"/>
    </w:pPr>
    <w:rPr>
      <w:rFonts w:ascii="溘冼_GB2312" w:eastAsia="溘冼_GB2312" w:cs="溘冼_GB2312"/>
      <w:kern w:val="0"/>
    </w:rPr>
  </w:style>
  <w:style w:type="paragraph" w:customStyle="1" w:styleId="32">
    <w:name w:val="Char Char Char Char Char Char Char Char Char Char Char Char Char Char Char Char Char Char Char"/>
    <w:basedOn w:val="0"/>
    <w:pPr>
      <w:tabs>
        <w:tab w:val="left" w:pos="907"/>
      </w:tabs>
      <w:ind w:left="906" w:hanging="453"/>
    </w:pPr>
    <w:rPr>
      <w:rFonts w:ascii="Times New Roman" w:cs="Times New Roman" w:hAnsi="Times New Roman"/>
      <w:sz w:val="24"/>
      <w:szCs w:val="24"/>
    </w:rPr>
  </w:style>
  <w:style w:type="character" w:styleId="33">
    <w:name w:val="Emphasis"/>
    <w:basedOn w:val="10"/>
    <w:rPr>
      <w:color w:val="auto"/>
    </w:rPr>
  </w:style>
  <w:style w:type="character" w:customStyle="1" w:styleId="34">
    <w:name w:val="font51"/>
    <w:basedOn w:val="10"/>
    <w:rPr>
      <w:rFonts w:ascii="宋体" w:eastAsia="宋体" w:cs="宋体"/>
      <w:b/>
      <w:i w:val="0"/>
      <w:color w:val="000000"/>
      <w:sz w:val="24"/>
      <w:szCs w:val="24"/>
      <w:u w:val="none"/>
    </w:rPr>
  </w:style>
  <w:style w:type="character" w:customStyle="1" w:styleId="35">
    <w:name w:val="font01"/>
    <w:basedOn w:val="10"/>
    <w:rPr>
      <w:rFonts w:ascii="楷体" w:eastAsia="楷体" w:cs="楷体"/>
      <w:i w:val="0"/>
      <w:color w:val="000000"/>
      <w:sz w:val="21"/>
      <w:szCs w:val="21"/>
      <w:u w:val="none"/>
    </w:rPr>
  </w:style>
  <w:style w:type="character" w:customStyle="1" w:styleId="36">
    <w:name w:val="font61"/>
    <w:basedOn w:val="10"/>
    <w:rPr>
      <w:rFonts w:ascii="Times New Roman" w:cs="Times New Roman" w:hAnsi="Times New Roman"/>
      <w:b/>
      <w:i w:val="0"/>
      <w:color w:val="000000"/>
      <w:sz w:val="24"/>
      <w:szCs w:val="24"/>
      <w:u w:val="none"/>
    </w:rPr>
  </w:style>
  <w:style w:type="character" w:customStyle="1" w:styleId="37">
    <w:name w:val="font11"/>
    <w:basedOn w:val="10"/>
    <w:rPr>
      <w:rFonts w:ascii="宋体" w:eastAsia="宋体" w:cs="宋体"/>
      <w:color w:val="000000"/>
      <w:sz w:val="18"/>
      <w:szCs w:val="18"/>
      <w:u w:val="none"/>
    </w:rPr>
  </w:style>
  <w:style w:type="character" w:customStyle="1" w:styleId="38">
    <w:name w:val="font21"/>
    <w:basedOn w:val="10"/>
    <w:rPr>
      <w:rFonts w:ascii="宋体" w:eastAsia="宋体" w:cs="宋体"/>
      <w:b/>
      <w:color w:val="000000"/>
      <w:sz w:val="24"/>
      <w:szCs w:val="24"/>
      <w:u w:val="none"/>
    </w:rPr>
  </w:style>
  <w:style w:type="character" w:customStyle="1" w:styleId="39">
    <w:name w:val="font41"/>
    <w:basedOn w:val="10"/>
    <w:rPr>
      <w:rFonts w:ascii="宋体" w:eastAsia="宋体" w:cs="宋体"/>
      <w:color w:val="000000"/>
      <w:sz w:val="18"/>
      <w:szCs w:val="18"/>
      <w:u w:val="none"/>
    </w:rPr>
  </w:style>
  <w:style w:type="character" w:customStyle="1" w:styleId="40">
    <w:name w:val="font71"/>
    <w:basedOn w:val="10"/>
    <w:rPr>
      <w:rFonts w:ascii="宋体" w:eastAsia="宋体" w:cs="宋体"/>
      <w:b/>
      <w:color w:val="000000"/>
      <w:sz w:val="21"/>
      <w:szCs w:val="21"/>
      <w:u w:val="none"/>
    </w:rPr>
  </w:style>
  <w:style w:type="character" w:customStyle="1" w:styleId="41">
    <w:name w:val="font31"/>
    <w:basedOn w:val="10"/>
    <w:rPr>
      <w:rFonts w:ascii="宋体" w:eastAsia="宋体" w:cs="宋体"/>
      <w:color w:val="000000"/>
      <w:sz w:val="21"/>
      <w:szCs w:val="21"/>
      <w:u w:val="none"/>
    </w:rPr>
  </w:style>
  <w:style w:type="paragraph" w:styleId="42">
    <w:name w:val="No Spacing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43">
    <w:name w:val="caption"/>
    <w:basedOn w:val="0"/>
    <w:next w:val="0"/>
    <w:pPr>
      <w:widowControl/>
      <w:adjustRightInd w:val="0"/>
      <w:snapToGrid w:val="0"/>
      <w:spacing w:after="200"/>
      <w:jc w:val="left"/>
    </w:pPr>
    <w:rPr>
      <w:rFonts w:ascii="Cambria" w:eastAsia="黑体" w:cs="Times New Roman" w:hAnsi="Cambria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chart" Target="charts/chart1.xml"/><Relationship Id="rId5" Type="http://schemas.openxmlformats.org/officeDocument/2006/relationships/chart" Target="charts/chart2.xml"/><Relationship Id="rId6" Type="http://schemas.openxmlformats.org/officeDocument/2006/relationships/styles" Target="styles.xml"/><Relationship Id="rId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chart1.xlsx"/><Relationship Id="rId2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chart2.xlsx"/><Relationship Id="rId2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1125415"/>
          <c:y val="0.11972315"/>
          <c:w val="0.78454113"/>
          <c:h val="0.6801485"/>
        </c:manualLayout>
      </c:layout>
      <c:barChart>
        <c:barDir val="col"/>
        <c:grouping val="clustered"/>
        <c:varyColors val="0"/>
        <c:ser>
          <c:idx val="0"/>
          <c:order val="0"/>
          <c:tx>
            <c:v>国内生产总值</c:v>
          </c:tx>
          <c:spPr>
            <a:solidFill>
              <a:srgbClr val="FF7C80"/>
            </a:solidFill>
            <a:ln w="635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7C80"/>
              </a:solidFill>
              <a:ln w="6350">
                <a:solidFill>
                  <a:srgbClr val="868686"/>
                </a:solidFill>
                <a:prstDash val="solid"/>
              </a:ln>
            </c:spPr>
          </c:dPt>
          <c:dLbls>
            <c:spPr>
              <a:noFill/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方正大标宋_GBK"/>
                    <a:ea typeface="方正大标宋_GBK"/>
                    <a:cs typeface="Lucida Sans"/>
                  </a:defRPr>
                </a:pPr>
                <a:endParaRPr lang="zh-CN"/>
              </a:p>
            </c:txPr>
            <c:numFmt formatCode="0_ " sourceLinked="0"/>
            <c:dLbl>
              <c:idx val="4"/>
              <c:layout>
                <c:manualLayout>
                  <c:x val="0.0"/>
                  <c:y val="0.018648019"/>
                </c:manualLayout>
              </c:layout>
              <c:numFmt formatCode="0_ " sourceLinked="0"/>
              <c:spPr>
                <a:noFill/>
              </c:spPr>
              <c:txPr>
                <a:bodyPr vert="horz"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方正大标宋_GBK"/>
                      <a:ea typeface="方正大标宋_GBK"/>
                      <a:cs typeface="Lucida Sans"/>
                    </a:defRPr>
                  </a:pPr>
                  <a:endParaRPr lang="zh-CN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numCach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/>
              <c:numCache>
                <c:formatCode>0_ </c:formatCode>
                <c:ptCount val="5"/>
                <c:pt idx="0">
                  <c:v>2784.0</c:v>
                </c:pt>
                <c:pt idx="1">
                  <c:v>2923.0</c:v>
                </c:pt>
                <c:pt idx="2">
                  <c:v>3125.0</c:v>
                </c:pt>
                <c:pt idx="3">
                  <c:v>3277.07</c:v>
                </c:pt>
                <c:pt idx="4">
                  <c:v>3727.92</c:v>
                </c:pt>
              </c:numCache>
            </c:numRef>
          </c:val>
        </c:ser>
        <c:gapWidth val="150"/>
        <c:axId val="0"/>
        <c:axId val="1"/>
      </c:barChart>
      <c:lineChart>
        <c:grouping val="standard"/>
        <c:varyColors val="0"/>
        <c:ser>
          <c:idx val="1"/>
          <c:order val="1"/>
          <c:tx>
            <c:v>比上年增长</c:v>
          </c:tx>
          <c:spPr>
            <a:ln w="6350">
              <a:solidFill>
                <a:srgbClr val="92D050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ffff"/>
              </a:solidFill>
              <a:ln>
                <a:solidFill>
                  <a:srgbClr val="c0504d"/>
                </a:solidFill>
                <a:prstDash val="solid"/>
              </a:ln>
            </c:spPr>
          </c:marker>
          <c:dPt>
            <c:idx val="3"/>
            <c:marker>
              <c:symbol val="square"/>
              <c:size val="5"/>
              <c:spPr>
                <a:solidFill>
                  <a:srgbClr val="ffffff"/>
                </a:solidFill>
                <a:ln>
                  <a:solidFill>
                    <a:srgbClr val="9bbb59"/>
                  </a:solidFill>
                  <a:prstDash val="solid"/>
                </a:ln>
              </c:spPr>
            </c:marker>
            <c:invertIfNegative val="0"/>
            <c:bubble3D val="0"/>
            <c:spPr>
              <a:solidFill>
                <a:srgbClr val="C0504D"/>
              </a:solidFill>
              <a:ln w="6350">
                <a:solidFill>
                  <a:srgbClr val="92D050"/>
                </a:solidFill>
                <a:prstDash val="solid"/>
              </a:ln>
            </c:spPr>
          </c:dPt>
          <c:dLbls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方正大标宋_GBK"/>
                    <a:ea typeface="方正大标宋_GBK"/>
                    <a:cs typeface="Lucida Sans"/>
                  </a:defRPr>
                </a:pPr>
                <a:endParaRPr lang="zh-CN"/>
              </a:p>
            </c:txPr>
            <c:numFmt formatCode="0.0_ 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numCach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/>
              <c:numCache>
                <c:formatCode>0_ </c:formatCode>
                <c:ptCount val="5"/>
                <c:pt idx="0">
                  <c:v>7.4</c:v>
                </c:pt>
                <c:pt idx="1">
                  <c:v>4.7</c:v>
                </c:pt>
                <c:pt idx="2">
                  <c:v>6.0</c:v>
                </c:pt>
                <c:pt idx="3">
                  <c:v>3.0</c:v>
                </c:pt>
                <c:pt idx="4">
                  <c:v>8.8</c:v>
                </c:pt>
              </c:numCache>
            </c:numRef>
          </c:val>
          <c:smooth val="0"/>
        </c:ser>
        <c:marker val="1"/>
        <c:smooth val="0"/>
        <c:axId val="2"/>
        <c:axId val="3"/>
      </c:lineChart>
      <c:catAx>
        <c:axId val="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方正大标宋_GBK"/>
                <a:ea typeface="方正大标宋_GBK"/>
                <a:cs typeface="Lucida Sans"/>
              </a:defRPr>
            </a:pPr>
            <a:endParaRPr lang="zh-CN"/>
          </a:p>
        </c:txPr>
        <c:crosses val="autoZero"/>
        <c:auto val="1"/>
        <c:lblOffset val="100"/>
        <c:lblAlgn val="ctr"/>
        <c:noMultiLvlLbl val="0"/>
        <c:crossAx val="1"/>
      </c:catAx>
      <c:valAx>
        <c:axId val="1"/>
        <c:scaling>
          <c:orientation val="minMax"/>
        </c:scaling>
        <c:delete val="0"/>
        <c:axPos val="l"/>
        <c:majorGridlines>
          <c:spPr>
            <a:ln w="6350">
              <a:solidFill>
                <a:srgbClr val="FFFFFF"/>
              </a:solidFill>
              <a:prstDash val="solid"/>
            </a:ln>
          </c:spPr>
        </c:majorGridlines>
        <c:numFmt formatCode="0_ " sourceLinked="1"/>
        <c:majorTickMark val="out"/>
        <c:minorTickMark val="none"/>
        <c:tickLblPos val="nextTo"/>
        <c:txPr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方正大标宋_GBK"/>
                <a:ea typeface="方正大标宋_GBK"/>
                <a:cs typeface="Lucida Sans"/>
              </a:defRPr>
            </a:pPr>
            <a:endParaRPr lang="zh-CN"/>
          </a:p>
        </c:txPr>
        <c:crossesAt val="1.0"/>
        <c:crossBetween val="between"/>
        <c:crossAx val="0"/>
      </c:valAx>
      <c:catAx>
        <c:axId val="2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one"/>
        <c:txPr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方正大标宋_GBK"/>
                <a:ea typeface="方正大标宋_GBK"/>
                <a:cs typeface="Lucida Sans"/>
              </a:defRPr>
            </a:pPr>
            <a:endParaRPr lang="zh-CN"/>
          </a:p>
        </c:txPr>
        <c:crosses val="autoZero"/>
        <c:auto val="1"/>
        <c:lblOffset val="100"/>
        <c:lblAlgn val="ctr"/>
        <c:noMultiLvlLbl val="0"/>
        <c:crossAx val="3"/>
      </c:catAx>
      <c:valAx>
        <c:axId val="3"/>
        <c:scaling>
          <c:orientation val="minMax"/>
          <c:min val="0.0"/>
          <c:max val="20.0"/>
        </c:scaling>
        <c:delete val="0"/>
        <c:axPos val="r"/>
        <c:numFmt formatCode="0.0_ " sourceLinked="1"/>
        <c:majorTickMark val="out"/>
        <c:minorTickMark val="none"/>
        <c:tickLblPos val="nextTo"/>
        <c:txPr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方正大标宋_GBK"/>
                <a:ea typeface="方正大标宋_GBK"/>
                <a:cs typeface="Lucida Sans"/>
              </a:defRPr>
            </a:pPr>
            <a:endParaRPr lang="zh-CN"/>
          </a:p>
        </c:txPr>
        <c:crosses val="max"/>
        <c:crossBetween val="between"/>
        <c:majorUnit val="5.0"/>
        <c:crossAx val="2"/>
      </c:valAx>
      <c:spPr>
        <a:solidFill>
          <a:srgbClr val="DCE6F2"/>
        </a:solidFill>
        <a:ln w="6350">
          <a:solidFill>
            <a:srgbClr val="000000"/>
          </a:solidFill>
          <a:prstDash val="solid"/>
        </a:ln>
      </c:spPr>
    </c:plotArea>
    <c:legend>
      <c:legendPos val="b"/>
      <c:layout/>
      <c:overlay val="0"/>
      <c:spPr>
        <a:noFill/>
        <a:ln>
          <a:noFill/>
        </a:ln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方正大标宋_GBK"/>
              <a:ea typeface="方正大标宋_GBK"/>
              <a:cs typeface="Lucida Sans"/>
            </a:defRPr>
          </a:pPr>
          <a:endParaRPr lang="zh-CN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方正大标宋_GBK"/>
          <a:ea typeface="方正大标宋_GBK"/>
          <a:cs typeface="Lucida Sans"/>
        </a:defRPr>
      </a:pPr>
      <a:endParaRPr lang="zh-CN"/>
    </a:p>
  </c:txPr>
  <c:printSettings>
    <c:headerFooter/>
    <c:pageMargins b="0.75" l="0.7" r="0.7" t="0.75" header="0.3" footer="0.3"/>
    <c:pageSetup/>
  </c:printSettings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832971"/>
          <c:y val="0.14595512"/>
          <c:w val="0.80982697"/>
          <c:h val="0.64469975"/>
        </c:manualLayout>
      </c:layout>
      <c:barChart>
        <c:barDir val="col"/>
        <c:grouping val="clustered"/>
        <c:varyColors val="0"/>
        <c:ser>
          <c:idx val="0"/>
          <c:order val="0"/>
          <c:tx>
            <c:v>城镇居民可支配收入</c:v>
          </c:tx>
          <c:spPr>
            <a:solidFill>
              <a:srgbClr val="FF7C80"/>
            </a:solidFill>
            <a:ln w="635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方正大标宋_GBK"/>
                    <a:ea typeface="方正大标宋_GBK"/>
                    <a:cs typeface="Lucida Sans"/>
                  </a:defRPr>
                </a:pPr>
                <a:endParaRPr lang="zh-CN"/>
              </a:p>
            </c:txPr>
            <c:numFmt formatCode="General" sourceLinked="0"/>
            <c:dLbl>
              <c:idx val="3"/>
              <c:layout>
                <c:manualLayout>
                  <c:x val="-7.784766E-17"/>
                  <c:y val="0.026079869"/>
                </c:manualLayout>
              </c:layout>
              <c:numFmt formatCode="General" sourceLinked="0"/>
              <c:spPr>
                <a:noFill/>
              </c:spPr>
              <c:txPr>
                <a:bodyPr vert="horz"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方正大标宋_GBK"/>
                      <a:ea typeface="方正大标宋_GBK"/>
                      <a:cs typeface="Lucida Sans"/>
                    </a:defRPr>
                  </a:pPr>
                  <a:endParaRPr lang="zh-CN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004246285"/>
                  <c:y val="0.07732784"/>
                </c:manualLayout>
              </c:layout>
              <c:numFmt formatCode="General" sourceLinked="0"/>
              <c:spPr>
                <a:noFill/>
              </c:spPr>
              <c:txPr>
                <a:bodyPr vert="horz"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方正大标宋_GBK"/>
                      <a:ea typeface="方正大标宋_GBK"/>
                      <a:cs typeface="Lucida Sans"/>
                    </a:defRPr>
                  </a:pPr>
                  <a:endParaRPr lang="zh-CN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numCach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/>
              <c:numCache>
                <c:formatCode>General</c:formatCode>
                <c:ptCount val="5"/>
                <c:pt idx="0">
                  <c:v>30293.0</c:v>
                </c:pt>
                <c:pt idx="1">
                  <c:v>32749.0</c:v>
                </c:pt>
                <c:pt idx="2">
                  <c:v>35390.0</c:v>
                </c:pt>
                <c:pt idx="3">
                  <c:v>36722.0</c:v>
                </c:pt>
                <c:pt idx="4">
                  <c:v>39862.0</c:v>
                </c:pt>
              </c:numCache>
            </c:numRef>
          </c:val>
        </c:ser>
        <c:ser>
          <c:idx val="1"/>
          <c:order val="1"/>
          <c:tx>
            <c:v>农村居民可支配收入</c:v>
          </c:tx>
          <c:spPr>
            <a:solidFill>
              <a:srgbClr val="558ED5"/>
            </a:solidFill>
            <a:ln w="6350">
              <a:solidFill>
                <a:srgbClr val="92D050"/>
              </a:solidFill>
              <a:prstDash val="solid"/>
            </a:ln>
          </c:spPr>
          <c:invertIfNegative val="0"/>
          <c:dLbls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方正大标宋_GBK"/>
                    <a:ea typeface="方正大标宋_GBK"/>
                    <a:cs typeface="Lucida Sans"/>
                  </a:defRPr>
                </a:pPr>
                <a:endParaRPr lang="zh-CN"/>
              </a:p>
            </c:txPr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numCach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/>
              <c:numCache>
                <c:formatCode>General</c:formatCode>
                <c:ptCount val="5"/>
                <c:pt idx="0">
                  <c:v>15273.0</c:v>
                </c:pt>
                <c:pt idx="1">
                  <c:v>16607.0</c:v>
                </c:pt>
                <c:pt idx="2">
                  <c:v>18061.0</c:v>
                </c:pt>
                <c:pt idx="3">
                  <c:v>19237.0</c:v>
                </c:pt>
                <c:pt idx="4">
                  <c:v>21373.0</c:v>
                </c:pt>
              </c:numCache>
            </c:numRef>
          </c:val>
        </c:ser>
        <c:gapWidth val="150"/>
        <c:axId val="0"/>
        <c:axId val="1"/>
      </c:barChart>
      <c:catAx>
        <c:axId val="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方正大标宋_GBK"/>
                <a:ea typeface="方正大标宋_GBK"/>
                <a:cs typeface="Lucida Sans"/>
              </a:defRPr>
            </a:pPr>
            <a:endParaRPr lang="zh-CN"/>
          </a:p>
        </c:txPr>
        <c:crosses val="autoZero"/>
        <c:auto val="1"/>
        <c:lblOffset val="100"/>
        <c:lblAlgn val="ctr"/>
        <c:noMultiLvlLbl val="0"/>
        <c:crossAx val="1"/>
      </c:catAx>
      <c:valAx>
        <c:axId val="1"/>
        <c:scaling>
          <c:orientation val="minMax"/>
          <c:max val="40000.0"/>
        </c:scaling>
        <c:delete val="0"/>
        <c:axPos val="l"/>
        <c:majorGridlines>
          <c:spPr>
            <a:ln w="6350">
              <a:solidFill>
                <a:srgbClr val="FF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方正大标宋_GBK"/>
                <a:ea typeface="方正大标宋_GBK"/>
                <a:cs typeface="Lucida Sans"/>
              </a:defRPr>
            </a:pPr>
            <a:endParaRPr lang="zh-CN"/>
          </a:p>
        </c:txPr>
        <c:crossesAt val="1.0"/>
        <c:crossBetween val="between"/>
        <c:crossAx val="0"/>
      </c:valAx>
      <c:spPr>
        <a:solidFill>
          <a:srgbClr val="DCE6F2"/>
        </a:solidFill>
        <a:ln w="6350">
          <a:solidFill>
            <a:srgbClr val="00000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0.19274239"/>
          <c:y val="0.91867924"/>
          <c:w val="0.6195673"/>
          <c:h val="0.066841215"/>
        </c:manualLayout>
      </c:layout>
      <c:overlay val="0"/>
      <c:spPr>
        <a:noFill/>
        <a:ln>
          <a:noFill/>
        </a:ln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方正大标宋_GBK"/>
              <a:ea typeface="方正大标宋_GBK"/>
              <a:cs typeface="Lucida Sans"/>
            </a:defRPr>
          </a:pPr>
          <a:endParaRPr lang="zh-CN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方正大标宋_GBK"/>
          <a:ea typeface="方正大标宋_GBK"/>
          <a:cs typeface="Lucida Sans"/>
        </a:defRPr>
      </a:pPr>
      <a:endParaRPr lang="zh-CN"/>
    </a:p>
  </c:txPr>
  <c:printSettings>
    <c:headerFooter/>
    <c:pageMargins b="0.75" l="0.7" r="0.7" t="0.75" header="0.3" footer="0.3"/>
    <c:pageSetup/>
  </c:printSettings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 xmlns:cdr="http://schemas.openxmlformats.org/drawingml/2006/chartDrawing" xmlns:a="http://schemas.openxmlformats.org/drawingml/2006/main" xmlns:r="http://schemas.openxmlformats.org/officeDocument/2006/relationships">
  <cdr:relSizeAnchor>
    <cdr:from>
      <cdr:x>0.07639024</cdr:x>
      <cdr:y>0.0</cdr:y>
    </cdr:from>
    <cdr:to>
      <cdr:x>0.18229464</cdr:x>
      <cdr:y>0.052084133</cdr:y>
    </cdr:to>
    <cdr:sp>
      <cdr:nvSpPr>
        <cdr:cNvPr id="3" name="TextBox 1"/>
        <cdr:cNvSpPr>
          <a:spLocks/>
        </cdr:cNvSpPr>
      </cdr:nvSpPr>
      <cdr:spPr>
        <a:xfrm rot="0">
          <a:off x="404700" y="0"/>
          <a:ext cx="561060" cy="153129"/>
        </a:xfrm>
        <a:prstGeom prst="rect"/>
        <a:noFill/>
        <a:ln w="9525" cmpd="sng" cap="flat">
          <a:noFill/>
          <a:prstDash val="solid"/>
          <a:miter/>
        </a:ln>
      </cdr:spPr>
    </cdr:sp>
  </cdr:relSizeAnchor>
  <cdr:relSizeAnchor>
    <cdr:from>
      <cdr:x>0.035529483</cdr:x>
      <cdr:y>0.018443704</cdr:y>
    </cdr:from>
    <cdr:to>
      <cdr:x>0.13530135</cdr:x>
      <cdr:y>0.12935673</cdr:y>
    </cdr:to>
    <cdr:sp>
      <cdr:nvSpPr>
        <cdr:cNvPr id="4" name="TextBox 2"/>
        <cdr:cNvSpPr>
          <a:spLocks/>
        </cdr:cNvSpPr>
      </cdr:nvSpPr>
      <cdr:spPr>
        <a:xfrm rot="0">
          <a:off x="188228" y="54225"/>
          <a:ext cx="528571" cy="326089"/>
        </a:xfrm>
        <a:prstGeom prst="rect"/>
        <a:noFill/>
        <a:ln w="9525" cmpd="sng" cap="flat">
          <a:noFill/>
          <a:prstDash val="solid"/>
          <a:miter/>
        </a:ln>
      </cdr:spPr>
      <cdr:txBody>
        <a:bodyPr vert="horz" wrap="square" lIns="91440" tIns="45720" rIns="91440" bIns="45720" anchor="t" anchorCtr="0">
          <a:prstTxWarp prst="textNoShape"/>
        </a:bodyPr>
        <a:lstStyle/>
        <a:p>
          <a:pPr defTabSz="266700"/>
          <a:r>
            <a:rPr lang="en-US" altLang="zh-CN" sz="1200" b="1">
              <a:latin typeface="方正大标宋_GBK"/>
              <a:ea typeface="方正大标宋_GBK"/>
            </a:rPr>
            <a:t>亿元</a:t>
          </a:r>
          <a:endParaRPr lang="en-US" altLang="zh-CN" sz="1200" b="1">
            <a:latin typeface="方正大标宋_GBK"/>
            <a:ea typeface="方正大标宋_GBK"/>
          </a:endParaRPr>
        </a:p>
      </cdr:txBody>
    </cdr:sp>
  </cdr:relSizeAnchor>
  <cdr:relSizeAnchor>
    <cdr:from>
      <cdr:x>0.9498931</cdr:x>
      <cdr:y>0.02575681</cdr:y>
    </cdr:from>
    <cdr:to>
      <cdr:x>1.0</cdr:x>
      <cdr:y>0.13194646</cdr:y>
    </cdr:to>
    <cdr:sp>
      <cdr:nvSpPr>
        <cdr:cNvPr id="5" name="TextBox 3"/>
        <cdr:cNvSpPr>
          <a:spLocks/>
        </cdr:cNvSpPr>
      </cdr:nvSpPr>
      <cdr:spPr>
        <a:xfrm rot="0">
          <a:off x="5032347" y="75726"/>
          <a:ext cx="265456" cy="312202"/>
        </a:xfrm>
        <a:prstGeom prst="rect"/>
        <a:noFill/>
        <a:ln w="9525" cmpd="sng" cap="flat">
          <a:noFill/>
          <a:prstDash val="solid"/>
          <a:miter/>
        </a:ln>
      </cdr:spPr>
      <cdr:txBody>
        <a:bodyPr vert="horz" wrap="square" lIns="91440" tIns="45720" rIns="91440" bIns="45720" anchor="t" anchorCtr="0">
          <a:prstTxWarp prst="textNoShape"/>
        </a:bodyPr>
        <a:lstStyle/>
        <a:p>
          <a:pPr defTabSz="266700"/>
          <a:r>
            <a:rPr lang="en-US" altLang="zh-CN" sz="1400" b="1">
              <a:latin typeface="方正大标宋_GBK"/>
              <a:ea typeface="方正大标宋_GBK"/>
            </a:rPr>
            <a:t>%</a:t>
          </a:r>
          <a:endParaRPr lang="en-US" altLang="zh-CN" sz="1400" b="1">
            <a:latin typeface="方正大标宋_GBK"/>
            <a:ea typeface="方正大标宋_GBK"/>
          </a:endParaRPr>
        </a:p>
      </cdr:txBody>
    </cdr:sp>
  </cdr:relSizeAnchor>
  <cdr:relSizeAnchor>
    <cdr:from>
      <cdr:x>0.16995847</cdr:x>
      <cdr:y>0.0</cdr:y>
    </cdr:from>
    <cdr:to>
      <cdr:x>1.0</cdr:x>
      <cdr:y>0.1323139</cdr:y>
    </cdr:to>
    <cdr:sp>
      <cdr:nvSpPr>
        <cdr:cNvPr id="6" name="TextBox 4"/>
        <cdr:cNvSpPr>
          <a:spLocks/>
        </cdr:cNvSpPr>
      </cdr:nvSpPr>
      <cdr:spPr>
        <a:xfrm rot="0">
          <a:off x="900406" y="0"/>
          <a:ext cx="4397397" cy="389009"/>
        </a:xfrm>
        <a:prstGeom prst="rect"/>
        <a:noFill/>
        <a:ln w="9525" cmpd="sng" cap="flat">
          <a:noFill/>
          <a:prstDash val="solid"/>
          <a:miter/>
        </a:ln>
      </cdr:spPr>
      <cdr:txBody>
        <a:bodyPr vert="horz" wrap="square" lIns="91440" tIns="45720" rIns="91440" bIns="45720" anchor="t" anchorCtr="0">
          <a:prstTxWarp prst="textNoShape"/>
        </a:bodyPr>
        <a:lstStyle/>
        <a:p>
          <a:pPr defTabSz="266700"/>
          <a:r>
            <a:rPr lang="en-US" altLang="zh-CN" sz="1400" b="1">
              <a:latin typeface="宋体"/>
              <a:ea typeface="宋体"/>
            </a:rPr>
            <a:t>图</a:t>
          </a:r>
          <a:r>
            <a:rPr lang="en-US" altLang="zh-CN" sz="1400" b="1">
              <a:latin typeface="宋体"/>
              <a:ea typeface="宋体"/>
            </a:rPr>
            <a:t>1</a:t>
          </a:r>
          <a:r>
            <a:rPr lang="en-US" altLang="zh-CN" sz="1400" b="1" baseline="0">
              <a:latin typeface="宋体"/>
              <a:ea typeface="宋体"/>
            </a:rPr>
            <a:t> 2017-2021</a:t>
          </a:r>
          <a:r>
            <a:rPr lang="en-US" altLang="zh-CN" sz="1400" b="1" baseline="0">
              <a:latin typeface="宋体"/>
              <a:ea typeface="宋体"/>
            </a:rPr>
            <a:t>年地区生产总值及其增长速</a:t>
          </a:r>
          <a:r>
            <a:rPr lang="en-US" altLang="zh-CN" sz="1600" b="1" baseline="0">
              <a:latin typeface="宋体"/>
              <a:ea typeface="宋体"/>
            </a:rPr>
            <a:t>度</a:t>
          </a:r>
          <a:endParaRPr lang="en-US" altLang="zh-CN" sz="1600" b="1">
            <a:latin typeface="宋体"/>
            <a:ea typeface="宋体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 xmlns:cdr="http://schemas.openxmlformats.org/drawingml/2006/chartDrawing" xmlns:a="http://schemas.openxmlformats.org/drawingml/2006/main" xmlns:r="http://schemas.openxmlformats.org/officeDocument/2006/relationships">
  <cdr:relSizeAnchor>
    <cdr:from>
      <cdr:x>0.07727961</cdr:x>
      <cdr:y>0.0</cdr:y>
    </cdr:from>
    <cdr:to>
      <cdr:x>0.184417</cdr:x>
      <cdr:y>0.042130683</cdr:y>
    </cdr:to>
    <cdr:sp>
      <cdr:nvSpPr>
        <cdr:cNvPr id="3" name="TextBox 1"/>
        <cdr:cNvSpPr>
          <a:spLocks/>
        </cdr:cNvSpPr>
      </cdr:nvSpPr>
      <cdr:spPr>
        <a:xfrm rot="0">
          <a:off x="419101" y="0"/>
          <a:ext cx="581025" cy="142875"/>
        </a:xfrm>
        <a:prstGeom prst="rect"/>
        <a:noFill/>
        <a:ln w="9525" cmpd="sng" cap="flat">
          <a:noFill/>
          <a:prstDash val="solid"/>
          <a:miter/>
        </a:ln>
      </cdr:spPr>
    </cdr:sp>
  </cdr:relSizeAnchor>
  <cdr:relSizeAnchor>
    <cdr:from>
      <cdr:x>0.05335201</cdr:x>
      <cdr:y>0.021126015</cdr:y>
    </cdr:from>
    <cdr:to>
      <cdr:x>0.15441144</cdr:x>
      <cdr:y>0.13058908</cdr:y>
    </cdr:to>
    <cdr:sp>
      <cdr:nvSpPr>
        <cdr:cNvPr id="4" name="TextBox 2"/>
        <cdr:cNvSpPr>
          <a:spLocks/>
        </cdr:cNvSpPr>
      </cdr:nvSpPr>
      <cdr:spPr>
        <a:xfrm rot="0">
          <a:off x="289337" y="71643"/>
          <a:ext cx="548063" cy="371214"/>
        </a:xfrm>
        <a:prstGeom prst="rect"/>
        <a:noFill/>
        <a:ln w="9525" cmpd="sng" cap="flat">
          <a:noFill/>
          <a:prstDash val="solid"/>
          <a:miter/>
        </a:ln>
      </cdr:spPr>
      <cdr:txBody>
        <a:bodyPr vert="horz" wrap="square" lIns="91440" tIns="45720" rIns="91440" bIns="45720" anchor="t" anchorCtr="0">
          <a:prstTxWarp prst="textNoShape"/>
        </a:bodyPr>
        <a:lstStyle/>
        <a:p>
          <a:pPr defTabSz="266700"/>
          <a:r>
            <a:rPr lang="en-US" altLang="zh-CN" sz="1200" b="1">
              <a:latin typeface="方正大标宋_GBK"/>
              <a:ea typeface="方正大标宋_GBK"/>
            </a:rPr>
            <a:t>元</a:t>
          </a:r>
          <a:endParaRPr lang="en-US" altLang="zh-CN" sz="1200" b="1">
            <a:latin typeface="方正大标宋_GBK"/>
            <a:ea typeface="方正大标宋_GBK"/>
          </a:endParaRPr>
        </a:p>
      </cdr:txBody>
    </cdr:sp>
  </cdr:relSizeAnchor>
  <cdr:relSizeAnchor>
    <cdr:from>
      <cdr:x>0.16995847</cdr:x>
      <cdr:y>0.0</cdr:y>
    </cdr:from>
    <cdr:to>
      <cdr:x>1.0</cdr:x>
      <cdr:y>0.11142224</cdr:y>
    </cdr:to>
    <cdr:sp>
      <cdr:nvSpPr>
        <cdr:cNvPr id="5" name="TextBox 4"/>
        <cdr:cNvSpPr>
          <a:spLocks/>
        </cdr:cNvSpPr>
      </cdr:nvSpPr>
      <cdr:spPr>
        <a:xfrm rot="0">
          <a:off x="921714" y="0"/>
          <a:ext cx="4501462" cy="377858"/>
        </a:xfrm>
        <a:prstGeom prst="rect"/>
        <a:noFill/>
        <a:ln w="9525" cmpd="sng" cap="flat">
          <a:noFill/>
          <a:prstDash val="solid"/>
          <a:miter/>
        </a:ln>
      </cdr:spPr>
      <cdr:txBody>
        <a:bodyPr vert="horz" wrap="square" lIns="91440" tIns="45720" rIns="91440" bIns="45720" anchor="t" anchorCtr="0">
          <a:prstTxWarp prst="textNoShape"/>
        </a:bodyPr>
        <a:lstStyle/>
        <a:p>
          <a:pPr defTabSz="266700"/>
          <a:r>
            <a:rPr lang="en-US" altLang="zh-CN" sz="1400" b="1">
              <a:latin typeface="宋体"/>
              <a:ea typeface="宋体"/>
            </a:rPr>
            <a:t>图</a:t>
          </a:r>
          <a:r>
            <a:rPr lang="en-US" altLang="zh-CN" sz="1400" b="1">
              <a:latin typeface="宋体"/>
              <a:ea typeface="宋体"/>
            </a:rPr>
            <a:t>2</a:t>
          </a:r>
          <a:r>
            <a:rPr lang="en-US" altLang="zh-CN" sz="1400" b="1" baseline="0">
              <a:latin typeface="宋体"/>
              <a:ea typeface="宋体"/>
            </a:rPr>
            <a:t> 2017-2021</a:t>
          </a:r>
          <a:r>
            <a:rPr lang="en-US" altLang="zh-CN" sz="1400" b="1" baseline="0">
              <a:latin typeface="宋体"/>
              <a:ea typeface="宋体"/>
            </a:rPr>
            <a:t>年城镇及农村居民可支配收入</a:t>
          </a:r>
          <a:endParaRPr lang="en-US" altLang="zh-CN" sz="1400" b="1">
            <a:latin typeface="宋体"/>
            <a:ea typeface="宋体"/>
          </a:endParaRPr>
        </a:p>
      </cdr:txBody>
    </cdr:sp>
  </cdr:relSizeAnchor>
</c:userShapes>
</file>

<file path=docProps/app.xml><?xml version="1.0" encoding="utf-8"?>
<Properties xmlns="http://schemas.openxmlformats.org/officeDocument/2006/extended-properties">
  <Template>Normal.eit</Template>
  <TotalTime>7</TotalTime>
  <Application>Yozo_Office27021597764231179</Application>
  <Pages>12</Pages>
  <Words>4875</Words>
  <Characters>6005</Characters>
  <Lines>295</Lines>
  <Paragraphs>91</Paragraphs>
  <CharactersWithSpaces>6046</CharactersWithSpaces>
  <Company>国家统计局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69</dc:creator>
  <cp:lastModifiedBy>kylin</cp:lastModifiedBy>
  <cp:revision>3</cp:revision>
  <cp:lastPrinted>2022-02-10T01:14:00Z</cp:lastPrinted>
  <dcterms:created xsi:type="dcterms:W3CDTF">2022-04-20T01:04:00Z</dcterms:created>
  <dcterms:modified xsi:type="dcterms:W3CDTF">2022-04-21T01:45:25Z</dcterms:modified>
</cp:coreProperties>
</file>